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72F" w:rsidRDefault="00091405" w:rsidP="002E572F">
      <w:r>
        <w:fldChar w:fldCharType="begin"/>
      </w:r>
      <w:r w:rsidR="00BD7155">
        <w:instrText xml:space="preserve"> HYPERLINK "</w:instrText>
      </w:r>
      <w:r w:rsidR="00BD7155" w:rsidRPr="00BD7155">
        <w:instrText>http://www.comciencia.br/comciencia/?section=8&amp;edicao=85&amp;id=1050</w:instrText>
      </w:r>
      <w:r w:rsidR="00BD7155">
        <w:instrText xml:space="preserve">" </w:instrText>
      </w:r>
      <w:r>
        <w:fldChar w:fldCharType="separate"/>
      </w:r>
      <w:r w:rsidR="00BD7155" w:rsidRPr="00E31945">
        <w:rPr>
          <w:rStyle w:val="Hyperlink"/>
        </w:rPr>
        <w:t>http://www.comciencia.br/comciencia/?section=8&amp;edicao=85&amp;id=1050</w:t>
      </w:r>
      <w:r>
        <w:fldChar w:fldCharType="end"/>
      </w:r>
      <w:r w:rsidR="00BD7155">
        <w:t xml:space="preserve"> (</w:t>
      </w:r>
      <w:r w:rsidR="002E572F">
        <w:t>acesso em 24/02/2013)</w:t>
      </w:r>
      <w:r w:rsidR="00CB39B0">
        <w:t xml:space="preserve"> explorar o cardápio da escola.</w:t>
      </w:r>
    </w:p>
    <w:tbl>
      <w:tblPr>
        <w:tblW w:w="0" w:type="auto"/>
        <w:tblCellSpacing w:w="15" w:type="dxa"/>
        <w:tblCellMar>
          <w:top w:w="15" w:type="dxa"/>
          <w:left w:w="15" w:type="dxa"/>
          <w:bottom w:w="15" w:type="dxa"/>
          <w:right w:w="15" w:type="dxa"/>
        </w:tblCellMar>
        <w:tblLook w:val="04A0"/>
      </w:tblPr>
      <w:tblGrid>
        <w:gridCol w:w="9180"/>
      </w:tblGrid>
      <w:tr w:rsidR="002E572F" w:rsidTr="002E572F">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9090"/>
            </w:tblGrid>
            <w:tr w:rsidR="002E572F">
              <w:trPr>
                <w:tblCellSpacing w:w="15" w:type="dxa"/>
              </w:trPr>
              <w:tc>
                <w:tcPr>
                  <w:tcW w:w="0" w:type="auto"/>
                  <w:vAlign w:val="center"/>
                  <w:hideMark/>
                </w:tcPr>
                <w:tbl>
                  <w:tblPr>
                    <w:tblW w:w="9000" w:type="dxa"/>
                    <w:jc w:val="center"/>
                    <w:tblCellSpacing w:w="15" w:type="dxa"/>
                    <w:tblCellMar>
                      <w:top w:w="15" w:type="dxa"/>
                      <w:left w:w="15" w:type="dxa"/>
                      <w:bottom w:w="15" w:type="dxa"/>
                      <w:right w:w="15" w:type="dxa"/>
                    </w:tblCellMar>
                    <w:tblLook w:val="04A0"/>
                  </w:tblPr>
                  <w:tblGrid>
                    <w:gridCol w:w="8913"/>
                    <w:gridCol w:w="87"/>
                  </w:tblGrid>
                  <w:tr w:rsidR="002E572F">
                    <w:trPr>
                      <w:tblCellSpacing w:w="15" w:type="dxa"/>
                      <w:jc w:val="center"/>
                    </w:trPr>
                    <w:tc>
                      <w:tcPr>
                        <w:tcW w:w="0" w:type="auto"/>
                        <w:vAlign w:val="center"/>
                        <w:hideMark/>
                      </w:tcPr>
                      <w:p w:rsidR="002E572F" w:rsidRDefault="002E572F">
                        <w:pPr>
                          <w:rPr>
                            <w:sz w:val="24"/>
                            <w:szCs w:val="24"/>
                          </w:rPr>
                        </w:pPr>
                        <w:r>
                          <w:t>Reportagem</w:t>
                        </w:r>
                      </w:p>
                    </w:tc>
                    <w:tc>
                      <w:tcPr>
                        <w:tcW w:w="0" w:type="auto"/>
                        <w:vMerge w:val="restart"/>
                        <w:vAlign w:val="center"/>
                        <w:hideMark/>
                      </w:tcPr>
                      <w:p w:rsidR="002E572F" w:rsidRDefault="002E572F">
                        <w:pPr>
                          <w:rPr>
                            <w:sz w:val="24"/>
                            <w:szCs w:val="24"/>
                          </w:rPr>
                        </w:pPr>
                      </w:p>
                    </w:tc>
                  </w:tr>
                  <w:tr w:rsidR="002E572F">
                    <w:trPr>
                      <w:tblCellSpacing w:w="15" w:type="dxa"/>
                      <w:jc w:val="center"/>
                    </w:trPr>
                    <w:tc>
                      <w:tcPr>
                        <w:tcW w:w="0" w:type="auto"/>
                        <w:vAlign w:val="center"/>
                        <w:hideMark/>
                      </w:tcPr>
                      <w:p w:rsidR="002E572F" w:rsidRPr="002E572F" w:rsidRDefault="002E572F">
                        <w:pPr>
                          <w:rPr>
                            <w:b/>
                            <w:sz w:val="28"/>
                            <w:szCs w:val="28"/>
                          </w:rPr>
                        </w:pPr>
                        <w:r w:rsidRPr="002E572F">
                          <w:rPr>
                            <w:b/>
                            <w:sz w:val="28"/>
                            <w:szCs w:val="28"/>
                          </w:rPr>
                          <w:t>De dieta em dieta. O que a ciência diz sobre as soluções milagrosas?</w:t>
                        </w:r>
                      </w:p>
                    </w:tc>
                    <w:tc>
                      <w:tcPr>
                        <w:tcW w:w="0" w:type="auto"/>
                        <w:vMerge/>
                        <w:vAlign w:val="center"/>
                        <w:hideMark/>
                      </w:tcPr>
                      <w:p w:rsidR="002E572F" w:rsidRDefault="002E572F">
                        <w:pPr>
                          <w:rPr>
                            <w:sz w:val="24"/>
                            <w:szCs w:val="24"/>
                          </w:rPr>
                        </w:pPr>
                      </w:p>
                    </w:tc>
                  </w:tr>
                  <w:tr w:rsidR="002E572F">
                    <w:trPr>
                      <w:tblCellSpacing w:w="15" w:type="dxa"/>
                      <w:jc w:val="center"/>
                    </w:trPr>
                    <w:tc>
                      <w:tcPr>
                        <w:tcW w:w="0" w:type="auto"/>
                        <w:vAlign w:val="center"/>
                        <w:hideMark/>
                      </w:tcPr>
                      <w:p w:rsidR="002E572F" w:rsidRDefault="002E572F" w:rsidP="00E07ACC">
                        <w:pPr>
                          <w:rPr>
                            <w:sz w:val="24"/>
                            <w:szCs w:val="24"/>
                          </w:rPr>
                        </w:pPr>
                        <w:r>
                          <w:t xml:space="preserve">Por Marina Gomes </w:t>
                        </w:r>
                      </w:p>
                    </w:tc>
                    <w:tc>
                      <w:tcPr>
                        <w:tcW w:w="0" w:type="auto"/>
                        <w:vMerge/>
                        <w:vAlign w:val="center"/>
                        <w:hideMark/>
                      </w:tcPr>
                      <w:p w:rsidR="002E572F" w:rsidRDefault="002E572F">
                        <w:pPr>
                          <w:rPr>
                            <w:sz w:val="24"/>
                            <w:szCs w:val="24"/>
                          </w:rPr>
                        </w:pPr>
                      </w:p>
                    </w:tc>
                  </w:tr>
                  <w:tr w:rsidR="002E572F">
                    <w:trPr>
                      <w:trHeight w:val="150"/>
                      <w:tblCellSpacing w:w="15" w:type="dxa"/>
                      <w:jc w:val="center"/>
                    </w:trPr>
                    <w:tc>
                      <w:tcPr>
                        <w:tcW w:w="0" w:type="auto"/>
                        <w:vAlign w:val="center"/>
                        <w:hideMark/>
                      </w:tcPr>
                      <w:p w:rsidR="002E572F" w:rsidRDefault="002E572F">
                        <w:pPr>
                          <w:spacing w:line="150" w:lineRule="atLeast"/>
                          <w:rPr>
                            <w:sz w:val="24"/>
                            <w:szCs w:val="24"/>
                          </w:rPr>
                        </w:pPr>
                      </w:p>
                    </w:tc>
                    <w:tc>
                      <w:tcPr>
                        <w:tcW w:w="0" w:type="auto"/>
                        <w:vAlign w:val="center"/>
                        <w:hideMark/>
                      </w:tcPr>
                      <w:p w:rsidR="002E572F" w:rsidRDefault="002E572F">
                        <w:pPr>
                          <w:rPr>
                            <w:sz w:val="20"/>
                            <w:szCs w:val="20"/>
                          </w:rPr>
                        </w:pPr>
                      </w:p>
                    </w:tc>
                  </w:tr>
                  <w:tr w:rsidR="002E572F">
                    <w:trPr>
                      <w:tblCellSpacing w:w="15" w:type="dxa"/>
                      <w:jc w:val="center"/>
                    </w:trPr>
                    <w:tc>
                      <w:tcPr>
                        <w:tcW w:w="0" w:type="auto"/>
                        <w:gridSpan w:val="2"/>
                        <w:vAlign w:val="center"/>
                        <w:hideMark/>
                      </w:tcPr>
                      <w:p w:rsidR="002E572F" w:rsidRDefault="002E572F">
                        <w:pPr>
                          <w:pStyle w:val="NormalWeb"/>
                        </w:pPr>
                        <w:r>
                          <w:rPr>
                            <w:rFonts w:ascii="Verdana" w:hAnsi="Verdana"/>
                            <w:sz w:val="20"/>
                            <w:szCs w:val="20"/>
                          </w:rPr>
                          <w:t>Estética, vaidade, saúde, padrão. Não importa a razão, mas é crescente a angústia pelo controle de calorias e a perda de peso. Segundo o Sistema de Vigilância de Fatores de Risco e Proteção para Doenças do Ministério da Saúde (</w:t>
                        </w:r>
                        <w:proofErr w:type="spellStart"/>
                        <w:r>
                          <w:rPr>
                            <w:rFonts w:ascii="Verdana" w:hAnsi="Verdana"/>
                            <w:sz w:val="20"/>
                            <w:szCs w:val="20"/>
                          </w:rPr>
                          <w:t>Vigitel</w:t>
                        </w:r>
                        <w:proofErr w:type="spellEnd"/>
                        <w:r>
                          <w:rPr>
                            <w:rFonts w:ascii="Verdana" w:hAnsi="Verdana"/>
                            <w:sz w:val="20"/>
                            <w:szCs w:val="20"/>
                          </w:rPr>
                          <w:t>), 48% dos brasileiros enfrentam o sobrepeso e 16% estão na faixa da obesidade.</w:t>
                        </w:r>
                        <w:r>
                          <w:rPr>
                            <w:rStyle w:val="Forte"/>
                            <w:rFonts w:ascii="Verdana" w:hAnsi="Verdana"/>
                            <w:sz w:val="20"/>
                            <w:szCs w:val="20"/>
                          </w:rPr>
                          <w:t xml:space="preserve"> </w:t>
                        </w:r>
                        <w:r>
                          <w:rPr>
                            <w:rFonts w:ascii="Verdana" w:hAnsi="Verdana"/>
                            <w:sz w:val="20"/>
                            <w:szCs w:val="20"/>
                          </w:rPr>
                          <w:t xml:space="preserve">Para atender aos anseios da população, há uma crescente oferta de livros e produtos que prometem sucesso em metas ambiciosas e o cardápio de dietas mais populares muda a cada estação: </w:t>
                        </w:r>
                        <w:proofErr w:type="spellStart"/>
                        <w:r>
                          <w:rPr>
                            <w:rFonts w:ascii="Verdana" w:hAnsi="Verdana"/>
                            <w:sz w:val="20"/>
                            <w:szCs w:val="20"/>
                          </w:rPr>
                          <w:t>South</w:t>
                        </w:r>
                        <w:proofErr w:type="spellEnd"/>
                        <w:r>
                          <w:rPr>
                            <w:rFonts w:ascii="Verdana" w:hAnsi="Verdana"/>
                            <w:sz w:val="20"/>
                            <w:szCs w:val="20"/>
                          </w:rPr>
                          <w:t xml:space="preserve"> </w:t>
                        </w:r>
                        <w:proofErr w:type="spellStart"/>
                        <w:r>
                          <w:rPr>
                            <w:rFonts w:ascii="Verdana" w:hAnsi="Verdana"/>
                            <w:sz w:val="20"/>
                            <w:szCs w:val="20"/>
                          </w:rPr>
                          <w:t>Beach</w:t>
                        </w:r>
                        <w:proofErr w:type="spellEnd"/>
                        <w:r>
                          <w:rPr>
                            <w:rFonts w:ascii="Verdana" w:hAnsi="Verdana"/>
                            <w:sz w:val="20"/>
                            <w:szCs w:val="20"/>
                          </w:rPr>
                          <w:t xml:space="preserve">, Atkins, Meta Real, Vigilantes do Peso, de pontos, da USP, de sopas, do tipo sanguíneo. Em comum, as dietas compartilham de pequena discrepância nos resultados obtidos, mas o sucesso pode ser apenas um ponto fugaz na luta contra a balança. Nesse cenário, as comprovações científicas parecem ser apenas atores coadjuvantes. </w:t>
                        </w:r>
                      </w:p>
                      <w:p w:rsidR="002E572F" w:rsidRDefault="002E572F">
                        <w:pPr>
                          <w:pStyle w:val="NormalWeb"/>
                        </w:pPr>
                        <w:r>
                          <w:rPr>
                            <w:rFonts w:ascii="Verdana" w:hAnsi="Verdana"/>
                            <w:sz w:val="20"/>
                            <w:szCs w:val="20"/>
                          </w:rPr>
                          <w:t xml:space="preserve">“Crenças falsas e cientificamente não suportadas sobre obesidade estão presentes tanto na literatura científica como na imprensa popular”, enfatizam os autores de um </w:t>
                        </w:r>
                        <w:hyperlink r:id="rId4" w:tgtFrame="_blank" w:history="1">
                          <w:r>
                            <w:rPr>
                              <w:rStyle w:val="Hyperlink"/>
                              <w:rFonts w:ascii="Verdana" w:hAnsi="Verdana"/>
                              <w:sz w:val="20"/>
                              <w:szCs w:val="20"/>
                            </w:rPr>
                            <w:t>artigo</w:t>
                          </w:r>
                        </w:hyperlink>
                        <w:r>
                          <w:rPr>
                            <w:rFonts w:ascii="Verdana" w:hAnsi="Verdana"/>
                            <w:sz w:val="20"/>
                            <w:szCs w:val="20"/>
                          </w:rPr>
                          <w:t xml:space="preserve"> recém publicado no </w:t>
                        </w:r>
                        <w:proofErr w:type="spellStart"/>
                        <w:r>
                          <w:rPr>
                            <w:rStyle w:val="nfase"/>
                            <w:rFonts w:ascii="Verdana" w:hAnsi="Verdana"/>
                            <w:sz w:val="20"/>
                            <w:szCs w:val="20"/>
                          </w:rPr>
                          <w:t>New</w:t>
                        </w:r>
                        <w:proofErr w:type="spellEnd"/>
                        <w:r>
                          <w:rPr>
                            <w:rStyle w:val="nfase"/>
                            <w:rFonts w:ascii="Verdana" w:hAnsi="Verdana"/>
                            <w:sz w:val="20"/>
                            <w:szCs w:val="20"/>
                          </w:rPr>
                          <w:t xml:space="preserve"> </w:t>
                        </w:r>
                        <w:proofErr w:type="spellStart"/>
                        <w:r>
                          <w:rPr>
                            <w:rStyle w:val="nfase"/>
                            <w:rFonts w:ascii="Verdana" w:hAnsi="Verdana"/>
                            <w:sz w:val="20"/>
                            <w:szCs w:val="20"/>
                          </w:rPr>
                          <w:t>England</w:t>
                        </w:r>
                        <w:proofErr w:type="spellEnd"/>
                        <w:r>
                          <w:rPr>
                            <w:rStyle w:val="nfase"/>
                            <w:rFonts w:ascii="Verdana" w:hAnsi="Verdana"/>
                            <w:sz w:val="20"/>
                            <w:szCs w:val="20"/>
                          </w:rPr>
                          <w:t xml:space="preserve"> </w:t>
                        </w:r>
                        <w:proofErr w:type="spellStart"/>
                        <w:r>
                          <w:rPr>
                            <w:rStyle w:val="nfase"/>
                            <w:rFonts w:ascii="Verdana" w:hAnsi="Verdana"/>
                            <w:sz w:val="20"/>
                            <w:szCs w:val="20"/>
                          </w:rPr>
                          <w:t>Journal</w:t>
                        </w:r>
                        <w:proofErr w:type="spellEnd"/>
                        <w:r>
                          <w:rPr>
                            <w:rStyle w:val="nfase"/>
                            <w:rFonts w:ascii="Verdana" w:hAnsi="Verdana"/>
                            <w:sz w:val="20"/>
                            <w:szCs w:val="20"/>
                          </w:rPr>
                          <w:t xml:space="preserve"> </w:t>
                        </w:r>
                        <w:proofErr w:type="spellStart"/>
                        <w:r>
                          <w:rPr>
                            <w:rStyle w:val="nfase"/>
                            <w:rFonts w:ascii="Verdana" w:hAnsi="Verdana"/>
                            <w:sz w:val="20"/>
                            <w:szCs w:val="20"/>
                          </w:rPr>
                          <w:t>of</w:t>
                        </w:r>
                        <w:proofErr w:type="spellEnd"/>
                        <w:r>
                          <w:rPr>
                            <w:rStyle w:val="nfase"/>
                            <w:rFonts w:ascii="Verdana" w:hAnsi="Verdana"/>
                            <w:sz w:val="20"/>
                            <w:szCs w:val="20"/>
                          </w:rPr>
                          <w:t xml:space="preserve"> Medicine </w:t>
                        </w:r>
                        <w:r>
                          <w:rPr>
                            <w:rFonts w:ascii="Verdana" w:hAnsi="Verdana"/>
                            <w:sz w:val="20"/>
                            <w:szCs w:val="20"/>
                          </w:rPr>
                          <w:t>(Vol.368, 2013) que apontou sete mitos do emagrecimento. Segundo o estudo de revisão, há pouca comprovação científica por trás de algumas receitas “infalíveis” repassadas por especialistas. Entre elas, os pesquisadores citam a recomendação de não pular o café da manhã, comer frutas e verduras e evitar petiscos e lanches.</w:t>
                        </w:r>
                      </w:p>
                      <w:p w:rsidR="002E572F" w:rsidRDefault="002E572F">
                        <w:pPr>
                          <w:pStyle w:val="NormalWeb"/>
                        </w:pPr>
                        <w:r>
                          <w:rPr>
                            <w:rFonts w:ascii="Verdana" w:hAnsi="Verdana"/>
                            <w:sz w:val="20"/>
                            <w:szCs w:val="20"/>
                          </w:rPr>
                          <w:t xml:space="preserve">Mesmo com tanta falácia arraigada às crenças populares sobre dieta, um dos maiores desafios enfrentados por quem decide emagrecer, entretanto, não é </w:t>
                        </w:r>
                        <w:proofErr w:type="spellStart"/>
                        <w:r>
                          <w:rPr>
                            <w:rFonts w:ascii="Verdana" w:hAnsi="Verdana"/>
                            <w:sz w:val="20"/>
                            <w:szCs w:val="20"/>
                          </w:rPr>
                          <w:t>livrrar-se</w:t>
                        </w:r>
                        <w:proofErr w:type="spellEnd"/>
                        <w:r>
                          <w:rPr>
                            <w:rFonts w:ascii="Verdana" w:hAnsi="Verdana"/>
                            <w:sz w:val="20"/>
                            <w:szCs w:val="20"/>
                          </w:rPr>
                          <w:t xml:space="preserve"> de alguns quilos indesejados, mas mantê-los à distância. A constatação de que os quilos perdidos na dieta podem retornar rapidamente a partir do momento que ela termina está longe de ser uma novidade e infelizmente não se trata de mais um dos mitos. Há 30 anos foi lançado o livro com o sugestivo título </w:t>
                        </w:r>
                        <w:r>
                          <w:rPr>
                            <w:rStyle w:val="nfase"/>
                            <w:rFonts w:ascii="Verdana" w:hAnsi="Verdana"/>
                            <w:sz w:val="20"/>
                            <w:szCs w:val="20"/>
                          </w:rPr>
                          <w:t xml:space="preserve">A dieta te deixou gordo? </w:t>
                        </w:r>
                        <w:r>
                          <w:rPr>
                            <w:rFonts w:ascii="Verdana" w:hAnsi="Verdana"/>
                            <w:sz w:val="20"/>
                            <w:szCs w:val="20"/>
                          </w:rPr>
                          <w:t>(</w:t>
                        </w:r>
                        <w:proofErr w:type="spellStart"/>
                        <w:r>
                          <w:rPr>
                            <w:rFonts w:ascii="Verdana" w:hAnsi="Verdana"/>
                            <w:sz w:val="20"/>
                            <w:szCs w:val="20"/>
                          </w:rPr>
                          <w:t>Dieting</w:t>
                        </w:r>
                        <w:proofErr w:type="spellEnd"/>
                        <w:r>
                          <w:rPr>
                            <w:rFonts w:ascii="Verdana" w:hAnsi="Verdana"/>
                            <w:sz w:val="20"/>
                            <w:szCs w:val="20"/>
                          </w:rPr>
                          <w:t xml:space="preserve"> </w:t>
                        </w:r>
                        <w:proofErr w:type="spellStart"/>
                        <w:r>
                          <w:rPr>
                            <w:rFonts w:ascii="Verdana" w:hAnsi="Verdana"/>
                            <w:sz w:val="20"/>
                            <w:szCs w:val="20"/>
                          </w:rPr>
                          <w:t>makes</w:t>
                        </w:r>
                        <w:proofErr w:type="spellEnd"/>
                        <w:r>
                          <w:rPr>
                            <w:rFonts w:ascii="Verdana" w:hAnsi="Verdana"/>
                            <w:sz w:val="20"/>
                            <w:szCs w:val="20"/>
                          </w:rPr>
                          <w:t xml:space="preserve"> </w:t>
                        </w:r>
                        <w:proofErr w:type="spellStart"/>
                        <w:r>
                          <w:rPr>
                            <w:rFonts w:ascii="Verdana" w:hAnsi="Verdana"/>
                            <w:sz w:val="20"/>
                            <w:szCs w:val="20"/>
                          </w:rPr>
                          <w:t>you</w:t>
                        </w:r>
                        <w:proofErr w:type="spellEnd"/>
                        <w:r>
                          <w:rPr>
                            <w:rFonts w:ascii="Verdana" w:hAnsi="Verdana"/>
                            <w:sz w:val="20"/>
                            <w:szCs w:val="20"/>
                          </w:rPr>
                          <w:t xml:space="preserve"> </w:t>
                        </w:r>
                        <w:proofErr w:type="spellStart"/>
                        <w:r>
                          <w:rPr>
                            <w:rFonts w:ascii="Verdana" w:hAnsi="Verdana"/>
                            <w:sz w:val="20"/>
                            <w:szCs w:val="20"/>
                          </w:rPr>
                          <w:t>fat</w:t>
                        </w:r>
                        <w:proofErr w:type="spellEnd"/>
                        <w:r>
                          <w:rPr>
                            <w:rFonts w:ascii="Verdana" w:hAnsi="Verdana"/>
                            <w:sz w:val="20"/>
                            <w:szCs w:val="20"/>
                          </w:rPr>
                          <w:t xml:space="preserve">, de Geoffrey </w:t>
                        </w:r>
                        <w:proofErr w:type="gramStart"/>
                        <w:r>
                          <w:rPr>
                            <w:rFonts w:ascii="Verdana" w:hAnsi="Verdana"/>
                            <w:sz w:val="20"/>
                            <w:szCs w:val="20"/>
                          </w:rPr>
                          <w:t>Cannon,</w:t>
                        </w:r>
                        <w:proofErr w:type="gramEnd"/>
                        <w:r>
                          <w:rPr>
                            <w:rFonts w:ascii="Verdana" w:hAnsi="Verdana"/>
                            <w:sz w:val="20"/>
                            <w:szCs w:val="20"/>
                          </w:rPr>
                          <w:t xml:space="preserve">1983), apontando que a restrição do consumo de calorias por um determinado tempo leva ao ganho de ainda mais peso ao longo dos anos. Assim é comum que se percorra, de dieta em dieta, uma via </w:t>
                        </w:r>
                        <w:proofErr w:type="spellStart"/>
                        <w:r>
                          <w:rPr>
                            <w:rFonts w:ascii="Verdana" w:hAnsi="Verdana"/>
                            <w:sz w:val="20"/>
                            <w:szCs w:val="20"/>
                          </w:rPr>
                          <w:t>crucis</w:t>
                        </w:r>
                        <w:proofErr w:type="spellEnd"/>
                        <w:r>
                          <w:rPr>
                            <w:rFonts w:ascii="Verdana" w:hAnsi="Verdana"/>
                            <w:sz w:val="20"/>
                            <w:szCs w:val="20"/>
                          </w:rPr>
                          <w:t xml:space="preserve"> desequilibrada esperando uma nova solução mágica – e permanente. </w:t>
                        </w:r>
                      </w:p>
                      <w:p w:rsidR="002E572F" w:rsidRDefault="002E572F">
                        <w:pPr>
                          <w:pStyle w:val="NormalWeb"/>
                        </w:pPr>
                        <w:r>
                          <w:rPr>
                            <w:rFonts w:ascii="Verdana" w:hAnsi="Verdana"/>
                            <w:sz w:val="20"/>
                            <w:szCs w:val="20"/>
                          </w:rPr>
                          <w:t xml:space="preserve">Há uma complexidade, que merece estudos aprofundados, na questão dos efeitos da dieta. </w:t>
                        </w:r>
                        <w:proofErr w:type="gramStart"/>
                        <w:r>
                          <w:rPr>
                            <w:rFonts w:ascii="Verdana" w:hAnsi="Verdana"/>
                            <w:sz w:val="20"/>
                            <w:szCs w:val="20"/>
                          </w:rPr>
                          <w:t>Uma investigação em gêmeos uni</w:t>
                        </w:r>
                        <w:proofErr w:type="gramEnd"/>
                        <w:r>
                          <w:rPr>
                            <w:rFonts w:ascii="Verdana" w:hAnsi="Verdana"/>
                            <w:sz w:val="20"/>
                            <w:szCs w:val="20"/>
                          </w:rPr>
                          <w:t xml:space="preserve"> e </w:t>
                        </w:r>
                        <w:proofErr w:type="spellStart"/>
                        <w:r>
                          <w:rPr>
                            <w:rFonts w:ascii="Verdana" w:hAnsi="Verdana"/>
                            <w:sz w:val="20"/>
                            <w:szCs w:val="20"/>
                          </w:rPr>
                          <w:t>bivitelinos</w:t>
                        </w:r>
                        <w:proofErr w:type="spellEnd"/>
                        <w:r>
                          <w:rPr>
                            <w:rFonts w:ascii="Verdana" w:hAnsi="Verdana"/>
                            <w:sz w:val="20"/>
                            <w:szCs w:val="20"/>
                          </w:rPr>
                          <w:t xml:space="preserve"> entre 16 e 25 anos avaliou se a genética é predominante no insucesso de longo prazo. O </w:t>
                        </w:r>
                        <w:hyperlink r:id="rId5" w:history="1">
                          <w:r>
                            <w:rPr>
                              <w:rStyle w:val="Hyperlink"/>
                              <w:rFonts w:ascii="Verdana" w:hAnsi="Verdana"/>
                              <w:sz w:val="20"/>
                              <w:szCs w:val="20"/>
                            </w:rPr>
                            <w:t>estudo</w:t>
                          </w:r>
                        </w:hyperlink>
                        <w:r>
                          <w:rPr>
                            <w:rFonts w:ascii="Verdana" w:hAnsi="Verdana"/>
                            <w:sz w:val="20"/>
                            <w:szCs w:val="20"/>
                          </w:rPr>
                          <w:t xml:space="preserve"> finlandês (</w:t>
                        </w:r>
                        <w:proofErr w:type="spellStart"/>
                        <w:r>
                          <w:rPr>
                            <w:rStyle w:val="nfase"/>
                            <w:rFonts w:ascii="Verdana" w:hAnsi="Verdana"/>
                            <w:sz w:val="20"/>
                            <w:szCs w:val="20"/>
                          </w:rPr>
                          <w:t>International</w:t>
                        </w:r>
                        <w:proofErr w:type="spellEnd"/>
                        <w:r>
                          <w:rPr>
                            <w:rStyle w:val="nfase"/>
                            <w:rFonts w:ascii="Verdana" w:hAnsi="Verdana"/>
                            <w:sz w:val="20"/>
                            <w:szCs w:val="20"/>
                          </w:rPr>
                          <w:t xml:space="preserve"> </w:t>
                        </w:r>
                        <w:proofErr w:type="spellStart"/>
                        <w:r>
                          <w:rPr>
                            <w:rStyle w:val="nfase"/>
                            <w:rFonts w:ascii="Verdana" w:hAnsi="Verdana"/>
                            <w:sz w:val="20"/>
                            <w:szCs w:val="20"/>
                          </w:rPr>
                          <w:t>Journal</w:t>
                        </w:r>
                        <w:proofErr w:type="spellEnd"/>
                        <w:r>
                          <w:rPr>
                            <w:rStyle w:val="nfase"/>
                            <w:rFonts w:ascii="Verdana" w:hAnsi="Verdana"/>
                            <w:sz w:val="20"/>
                            <w:szCs w:val="20"/>
                          </w:rPr>
                          <w:t xml:space="preserve"> </w:t>
                        </w:r>
                        <w:proofErr w:type="spellStart"/>
                        <w:r>
                          <w:rPr>
                            <w:rStyle w:val="nfase"/>
                            <w:rFonts w:ascii="Verdana" w:hAnsi="Verdana"/>
                            <w:sz w:val="20"/>
                            <w:szCs w:val="20"/>
                          </w:rPr>
                          <w:t>of</w:t>
                        </w:r>
                        <w:proofErr w:type="spellEnd"/>
                        <w:r>
                          <w:rPr>
                            <w:rStyle w:val="nfase"/>
                            <w:rFonts w:ascii="Verdana" w:hAnsi="Verdana"/>
                            <w:sz w:val="20"/>
                            <w:szCs w:val="20"/>
                          </w:rPr>
                          <w:t xml:space="preserve"> </w:t>
                        </w:r>
                        <w:proofErr w:type="spellStart"/>
                        <w:r>
                          <w:rPr>
                            <w:rStyle w:val="nfase"/>
                            <w:rFonts w:ascii="Verdana" w:hAnsi="Verdana"/>
                            <w:sz w:val="20"/>
                            <w:szCs w:val="20"/>
                          </w:rPr>
                          <w:t>Obesity</w:t>
                        </w:r>
                        <w:proofErr w:type="spellEnd"/>
                        <w:r>
                          <w:rPr>
                            <w:rStyle w:val="nfase"/>
                            <w:rFonts w:ascii="Verdana" w:hAnsi="Verdana"/>
                            <w:sz w:val="20"/>
                            <w:szCs w:val="20"/>
                          </w:rPr>
                          <w:t>,</w:t>
                        </w:r>
                        <w:r>
                          <w:rPr>
                            <w:rFonts w:ascii="Verdana" w:hAnsi="Verdana"/>
                            <w:sz w:val="20"/>
                            <w:szCs w:val="20"/>
                          </w:rPr>
                          <w:t xml:space="preserve"> Vol.36, 2012) concluiu que a resposta é parcial. “O fator genético é fundamental, mas a questão das dietas merece mais estudo, pois uma parte dos gêmeos monozigóticos ganhou mais peso após a dieta que seu par que não fez dieta”, afirmam os autores. Sim, fazer dieta engorda, ao menos para uma parte da população. Algumas explicações volteiam esse paradoxo, entre elas a que a restrição de calorias e nutrientes pode acionar o gatilho do exagero e desencadear uma ação de defesa do organismo para restaurar o peso perdido.</w:t>
                        </w:r>
                      </w:p>
                      <w:p w:rsidR="002E572F" w:rsidRDefault="002E572F">
                        <w:pPr>
                          <w:pStyle w:val="NormalWeb"/>
                        </w:pPr>
                        <w:r>
                          <w:rPr>
                            <w:rFonts w:ascii="Verdana" w:hAnsi="Verdana"/>
                            <w:sz w:val="20"/>
                            <w:szCs w:val="20"/>
                          </w:rPr>
                          <w:t xml:space="preserve">Parte dessa complexidade apareceu em pesquisa realizada por cientistas da Universidade de Melbourne, na Austrália, em que 50 homens e mulheres obesos foram acompanhados durante dez semanas. Ao final do período, houve uma perda média de 14 quilos, mas um ano depois o grupo já havia recuperado, em média, 5 quilos. A investigação dos reguladores hormonais de apetite indicou que os níveis de </w:t>
                        </w:r>
                        <w:proofErr w:type="spellStart"/>
                        <w:r>
                          <w:rPr>
                            <w:rFonts w:ascii="Verdana" w:hAnsi="Verdana"/>
                            <w:sz w:val="20"/>
                            <w:szCs w:val="20"/>
                          </w:rPr>
                          <w:t>grelina</w:t>
                        </w:r>
                        <w:proofErr w:type="spellEnd"/>
                        <w:r>
                          <w:rPr>
                            <w:rFonts w:ascii="Verdana" w:hAnsi="Verdana"/>
                            <w:sz w:val="20"/>
                            <w:szCs w:val="20"/>
                          </w:rPr>
                          <w:t xml:space="preserve">, uma das responsáveis pela sensação de fome, eram 20% maior que no começo do estudo, os </w:t>
                        </w:r>
                        <w:hyperlink r:id="rId6" w:tgtFrame="_blank" w:history="1">
                          <w:r>
                            <w:rPr>
                              <w:rStyle w:val="Hyperlink"/>
                              <w:rFonts w:ascii="Verdana" w:hAnsi="Verdana"/>
                              <w:sz w:val="20"/>
                              <w:szCs w:val="20"/>
                            </w:rPr>
                            <w:t>resultados</w:t>
                          </w:r>
                        </w:hyperlink>
                        <w:r>
                          <w:rPr>
                            <w:rFonts w:ascii="Verdana" w:hAnsi="Verdana"/>
                            <w:sz w:val="20"/>
                            <w:szCs w:val="20"/>
                          </w:rPr>
                          <w:t xml:space="preserve"> foram publicados no </w:t>
                        </w:r>
                        <w:proofErr w:type="spellStart"/>
                        <w:r>
                          <w:rPr>
                            <w:rStyle w:val="nfase"/>
                            <w:rFonts w:ascii="Verdana" w:hAnsi="Verdana"/>
                            <w:sz w:val="20"/>
                            <w:szCs w:val="20"/>
                          </w:rPr>
                          <w:t>New</w:t>
                        </w:r>
                        <w:proofErr w:type="spellEnd"/>
                        <w:r>
                          <w:rPr>
                            <w:rStyle w:val="nfase"/>
                            <w:rFonts w:ascii="Verdana" w:hAnsi="Verdana"/>
                            <w:sz w:val="20"/>
                            <w:szCs w:val="20"/>
                          </w:rPr>
                          <w:t xml:space="preserve"> </w:t>
                        </w:r>
                        <w:proofErr w:type="spellStart"/>
                        <w:r>
                          <w:rPr>
                            <w:rStyle w:val="nfase"/>
                            <w:rFonts w:ascii="Verdana" w:hAnsi="Verdana"/>
                            <w:sz w:val="20"/>
                            <w:szCs w:val="20"/>
                          </w:rPr>
                          <w:t>England</w:t>
                        </w:r>
                        <w:proofErr w:type="spellEnd"/>
                        <w:r>
                          <w:rPr>
                            <w:rStyle w:val="nfase"/>
                            <w:rFonts w:ascii="Verdana" w:hAnsi="Verdana"/>
                            <w:sz w:val="20"/>
                            <w:szCs w:val="20"/>
                          </w:rPr>
                          <w:t xml:space="preserve"> </w:t>
                        </w:r>
                        <w:proofErr w:type="spellStart"/>
                        <w:r>
                          <w:rPr>
                            <w:rStyle w:val="nfase"/>
                            <w:rFonts w:ascii="Verdana" w:hAnsi="Verdana"/>
                            <w:sz w:val="20"/>
                            <w:szCs w:val="20"/>
                          </w:rPr>
                          <w:t>Journal</w:t>
                        </w:r>
                        <w:proofErr w:type="spellEnd"/>
                        <w:r>
                          <w:rPr>
                            <w:rStyle w:val="nfase"/>
                            <w:rFonts w:ascii="Verdana" w:hAnsi="Verdana"/>
                            <w:sz w:val="20"/>
                            <w:szCs w:val="20"/>
                          </w:rPr>
                          <w:t xml:space="preserve"> </w:t>
                        </w:r>
                        <w:proofErr w:type="spellStart"/>
                        <w:r>
                          <w:rPr>
                            <w:rStyle w:val="nfase"/>
                            <w:rFonts w:ascii="Verdana" w:hAnsi="Verdana"/>
                            <w:sz w:val="20"/>
                            <w:szCs w:val="20"/>
                          </w:rPr>
                          <w:t>of</w:t>
                        </w:r>
                        <w:proofErr w:type="spellEnd"/>
                        <w:r>
                          <w:rPr>
                            <w:rStyle w:val="nfase"/>
                            <w:rFonts w:ascii="Verdana" w:hAnsi="Verdana"/>
                            <w:sz w:val="20"/>
                            <w:szCs w:val="20"/>
                          </w:rPr>
                          <w:t xml:space="preserve"> Medicine </w:t>
                        </w:r>
                        <w:r>
                          <w:rPr>
                            <w:rFonts w:ascii="Verdana" w:hAnsi="Verdana"/>
                            <w:sz w:val="20"/>
                            <w:szCs w:val="20"/>
                          </w:rPr>
                          <w:t xml:space="preserve">(Vol. 365, </w:t>
                        </w:r>
                        <w:r>
                          <w:rPr>
                            <w:rFonts w:ascii="Verdana" w:hAnsi="Verdana"/>
                            <w:sz w:val="20"/>
                            <w:szCs w:val="20"/>
                          </w:rPr>
                          <w:lastRenderedPageBreak/>
                          <w:t>2011).</w:t>
                        </w:r>
                      </w:p>
                      <w:p w:rsidR="002E572F" w:rsidRDefault="002E572F">
                        <w:pPr>
                          <w:pStyle w:val="NormalWeb"/>
                        </w:pPr>
                        <w:r>
                          <w:rPr>
                            <w:rFonts w:ascii="Verdana" w:hAnsi="Verdana"/>
                            <w:sz w:val="20"/>
                            <w:szCs w:val="20"/>
                          </w:rPr>
                          <w:t xml:space="preserve">“Não adianta fazer uma dieta eficaz para perda de peso por um período limitado, o controle calórico da alimentação tem que ser para a vida toda”, afirma a nutricionista Luciana Sales </w:t>
                        </w:r>
                        <w:proofErr w:type="spellStart"/>
                        <w:r>
                          <w:rPr>
                            <w:rFonts w:ascii="Verdana" w:hAnsi="Verdana"/>
                            <w:sz w:val="20"/>
                            <w:szCs w:val="20"/>
                          </w:rPr>
                          <w:t>Purcino</w:t>
                        </w:r>
                        <w:proofErr w:type="spellEnd"/>
                        <w:r>
                          <w:rPr>
                            <w:rFonts w:ascii="Verdana" w:hAnsi="Verdana"/>
                            <w:sz w:val="20"/>
                            <w:szCs w:val="20"/>
                          </w:rPr>
                          <w:t xml:space="preserve">, do Centro de Saúde da Comunidade da Universidade Estadual de Campinas (Unicamp). De acordo com ela, s e o hábito não </w:t>
                        </w:r>
                        <w:proofErr w:type="gramStart"/>
                        <w:r>
                          <w:rPr>
                            <w:rFonts w:ascii="Verdana" w:hAnsi="Verdana"/>
                            <w:sz w:val="20"/>
                            <w:szCs w:val="20"/>
                          </w:rPr>
                          <w:t>for modificado</w:t>
                        </w:r>
                        <w:proofErr w:type="gramEnd"/>
                        <w:r>
                          <w:rPr>
                            <w:rFonts w:ascii="Verdana" w:hAnsi="Verdana"/>
                            <w:sz w:val="20"/>
                            <w:szCs w:val="20"/>
                          </w:rPr>
                          <w:t xml:space="preserve"> o peso não será mantido. “Isso fica bem claro no caso de pacientes submetidos à cirurgia bariátrica, em que uma parcela continua com hábitos inadequados e não consegue um bom resultado a médio ou longo prazo. Algumas dietas com restrição excessiva de alimentos fontes de carboidrato como a dieta do médico francês Pierre </w:t>
                        </w:r>
                        <w:proofErr w:type="spellStart"/>
                        <w:r>
                          <w:rPr>
                            <w:rFonts w:ascii="Verdana" w:hAnsi="Verdana"/>
                            <w:sz w:val="20"/>
                            <w:szCs w:val="20"/>
                          </w:rPr>
                          <w:t>Dukan</w:t>
                        </w:r>
                        <w:proofErr w:type="spellEnd"/>
                        <w:r>
                          <w:rPr>
                            <w:rFonts w:ascii="Verdana" w:hAnsi="Verdana"/>
                            <w:sz w:val="20"/>
                            <w:szCs w:val="20"/>
                          </w:rPr>
                          <w:t xml:space="preserve"> ou Dieta de </w:t>
                        </w:r>
                        <w:proofErr w:type="spellStart"/>
                        <w:r>
                          <w:rPr>
                            <w:rFonts w:ascii="Verdana" w:hAnsi="Verdana"/>
                            <w:sz w:val="20"/>
                            <w:szCs w:val="20"/>
                          </w:rPr>
                          <w:t>South</w:t>
                        </w:r>
                        <w:proofErr w:type="spellEnd"/>
                        <w:r>
                          <w:rPr>
                            <w:rFonts w:ascii="Verdana" w:hAnsi="Verdana"/>
                            <w:sz w:val="20"/>
                            <w:szCs w:val="20"/>
                          </w:rPr>
                          <w:t xml:space="preserve"> </w:t>
                        </w:r>
                        <w:proofErr w:type="spellStart"/>
                        <w:r>
                          <w:rPr>
                            <w:rFonts w:ascii="Verdana" w:hAnsi="Verdana"/>
                            <w:sz w:val="20"/>
                            <w:szCs w:val="20"/>
                          </w:rPr>
                          <w:t>Beach</w:t>
                        </w:r>
                        <w:proofErr w:type="spellEnd"/>
                        <w:r>
                          <w:rPr>
                            <w:rFonts w:ascii="Verdana" w:hAnsi="Verdana"/>
                            <w:sz w:val="20"/>
                            <w:szCs w:val="20"/>
                          </w:rPr>
                          <w:t xml:space="preserve"> podem levar à perda de massa muscular, o que, por sua vez, reduz o metabolismo basal. Assim, com o metabolismo mais baixo, a dificuldade em perder peso só aumenta”, explica a nutricionista. </w:t>
                        </w:r>
                      </w:p>
                      <w:p w:rsidR="002E572F" w:rsidRDefault="002E572F">
                        <w:pPr>
                          <w:pStyle w:val="NormalWeb"/>
                        </w:pPr>
                        <w:proofErr w:type="gramStart"/>
                        <w:r>
                          <w:rPr>
                            <w:rFonts w:ascii="Verdana" w:hAnsi="Verdana"/>
                            <w:sz w:val="20"/>
                            <w:szCs w:val="20"/>
                          </w:rPr>
                          <w:t xml:space="preserve">“ </w:t>
                        </w:r>
                        <w:proofErr w:type="gramEnd"/>
                        <w:r>
                          <w:rPr>
                            <w:rFonts w:ascii="Verdana" w:hAnsi="Verdana"/>
                            <w:sz w:val="20"/>
                            <w:szCs w:val="20"/>
                          </w:rPr>
                          <w:t xml:space="preserve">Embora muitas dietas sejam eficazes na redução ponderal em curto prazo, a avaliação qualitativa dessas dietas muitas vezes não é conhecida. De fato, a análise mais detalhada da composição nutricional dos planos alimentares propostos de dietas populares mostrou que nenhum deles alcança um adequado índice de alimentação saudável”, ponderam Jussara Almeida, </w:t>
                        </w:r>
                        <w:proofErr w:type="spellStart"/>
                        <w:r>
                          <w:rPr>
                            <w:rFonts w:ascii="Verdana" w:hAnsi="Verdana"/>
                            <w:sz w:val="20"/>
                            <w:szCs w:val="20"/>
                          </w:rPr>
                          <w:t>Ticiana</w:t>
                        </w:r>
                        <w:proofErr w:type="spellEnd"/>
                        <w:r>
                          <w:rPr>
                            <w:rFonts w:ascii="Verdana" w:hAnsi="Verdana"/>
                            <w:sz w:val="20"/>
                            <w:szCs w:val="20"/>
                          </w:rPr>
                          <w:t xml:space="preserve"> Rodrigues, Flávia Silva e </w:t>
                        </w:r>
                        <w:proofErr w:type="spellStart"/>
                        <w:r>
                          <w:rPr>
                            <w:rFonts w:ascii="Verdana" w:hAnsi="Verdana"/>
                            <w:sz w:val="20"/>
                            <w:szCs w:val="20"/>
                          </w:rPr>
                          <w:t>Mirela</w:t>
                        </w:r>
                        <w:proofErr w:type="spellEnd"/>
                        <w:r>
                          <w:rPr>
                            <w:rFonts w:ascii="Verdana" w:hAnsi="Verdana"/>
                            <w:sz w:val="20"/>
                            <w:szCs w:val="20"/>
                          </w:rPr>
                          <w:t xml:space="preserve"> Azevedo, pesquisadoras do Serviço de Endocrinologia do Hospital de Clínicas de Porto Alegre e dos departamentos de Nutrição e Medicina da Universidade Federal do Rio Grande do Sul (UFRGS) em </w:t>
                        </w:r>
                        <w:hyperlink r:id="rId7" w:tgtFrame="_blank" w:history="1">
                          <w:r>
                            <w:rPr>
                              <w:rStyle w:val="Hyperlink"/>
                              <w:rFonts w:ascii="Verdana" w:hAnsi="Verdana"/>
                              <w:sz w:val="20"/>
                              <w:szCs w:val="20"/>
                            </w:rPr>
                            <w:t>artigo</w:t>
                          </w:r>
                        </w:hyperlink>
                        <w:r>
                          <w:rPr>
                            <w:rFonts w:ascii="Verdana" w:hAnsi="Verdana"/>
                            <w:sz w:val="20"/>
                            <w:szCs w:val="20"/>
                          </w:rPr>
                          <w:t xml:space="preserve"> de revisão de dietas de emagrecimento.</w:t>
                        </w:r>
                      </w:p>
                      <w:p w:rsidR="002E572F" w:rsidRDefault="002E572F">
                        <w:pPr>
                          <w:pStyle w:val="NormalWeb"/>
                        </w:pPr>
                        <w:r>
                          <w:rPr>
                            <w:rFonts w:ascii="Verdana" w:hAnsi="Verdana"/>
                            <w:sz w:val="20"/>
                            <w:szCs w:val="20"/>
                          </w:rPr>
                          <w:t xml:space="preserve">As pesquisadoras da UFRGS buscaram na literatura estudos de dietas com pelo menos um ano de acompanhamento e excluíram os que avaliaram o efeito de medicações e cirurgias para obesidade. Foram encontrados 545 estudos, dos quais apenas 23 dispunham de critérios válidos, compondo um total de 53 dietas analisadas. O veredicto dos autores é que a modificação nos componentes da dieta resultou em discreta perda ponderal, sendo a perda de peso geralmente </w:t>
                        </w:r>
                        <w:proofErr w:type="spellStart"/>
                        <w:r>
                          <w:rPr>
                            <w:rFonts w:ascii="Verdana" w:hAnsi="Verdana"/>
                            <w:sz w:val="20"/>
                            <w:szCs w:val="20"/>
                          </w:rPr>
                          <w:t>consequente</w:t>
                        </w:r>
                        <w:proofErr w:type="spellEnd"/>
                        <w:r>
                          <w:rPr>
                            <w:rFonts w:ascii="Verdana" w:hAnsi="Verdana"/>
                            <w:sz w:val="20"/>
                            <w:szCs w:val="20"/>
                          </w:rPr>
                          <w:t xml:space="preserve"> à restrição energética e não à modificação dos componentes da dieta. Entre as alterações nos componentes os resultados mais promissores pareceram estar relacionados à restrição de carboidratos e ao seguimento de uma dieta do tipo mediterrânea, composta por peixes, frutas, legumes, cereais, azeite, laticínios, ovos e vinho. </w:t>
                        </w:r>
                      </w:p>
                      <w:p w:rsidR="002E572F" w:rsidRDefault="002E572F">
                        <w:pPr>
                          <w:pStyle w:val="NormalWeb"/>
                        </w:pPr>
                        <w:r>
                          <w:rPr>
                            <w:rStyle w:val="Forte"/>
                            <w:rFonts w:ascii="Verdana" w:hAnsi="Verdana"/>
                            <w:sz w:val="20"/>
                            <w:szCs w:val="20"/>
                          </w:rPr>
                          <w:t xml:space="preserve">Muitos tipos, poucos grupos </w:t>
                        </w:r>
                      </w:p>
                      <w:p w:rsidR="002E572F" w:rsidRDefault="002E572F">
                        <w:pPr>
                          <w:pStyle w:val="NormalWeb"/>
                        </w:pPr>
                        <w:proofErr w:type="gramStart"/>
                        <w:r>
                          <w:rPr>
                            <w:rFonts w:ascii="Verdana" w:hAnsi="Verdana"/>
                            <w:sz w:val="20"/>
                            <w:szCs w:val="20"/>
                          </w:rPr>
                          <w:t xml:space="preserve">“ </w:t>
                        </w:r>
                        <w:proofErr w:type="gramEnd"/>
                        <w:r>
                          <w:rPr>
                            <w:rFonts w:ascii="Verdana" w:hAnsi="Verdana"/>
                            <w:sz w:val="20"/>
                            <w:szCs w:val="20"/>
                          </w:rPr>
                          <w:t xml:space="preserve">Na verdade as estratégias de emagrecimento cientificamente estudadas se encaixam em dois grupos principais: a manipulação de insulina ou o déficit de calorias. Há ainda um terceiro grupo, com restrição de itens específicos, e as especulações como a dieta do tipo sanguíneo”, explica a doutora em biologia funcional e molecular, Fernanda </w:t>
                        </w:r>
                        <w:proofErr w:type="spellStart"/>
                        <w:r>
                          <w:rPr>
                            <w:rFonts w:ascii="Verdana" w:hAnsi="Verdana"/>
                            <w:sz w:val="20"/>
                            <w:szCs w:val="20"/>
                          </w:rPr>
                          <w:t>Lorenzi</w:t>
                        </w:r>
                        <w:proofErr w:type="spellEnd"/>
                        <w:r>
                          <w:rPr>
                            <w:rFonts w:ascii="Verdana" w:hAnsi="Verdana"/>
                            <w:sz w:val="20"/>
                            <w:szCs w:val="20"/>
                          </w:rPr>
                          <w:t xml:space="preserve"> </w:t>
                        </w:r>
                        <w:proofErr w:type="spellStart"/>
                        <w:r>
                          <w:rPr>
                            <w:rFonts w:ascii="Verdana" w:hAnsi="Verdana"/>
                            <w:sz w:val="20"/>
                            <w:szCs w:val="20"/>
                          </w:rPr>
                          <w:t>Lazarim</w:t>
                        </w:r>
                        <w:proofErr w:type="spellEnd"/>
                        <w:r>
                          <w:rPr>
                            <w:rFonts w:ascii="Verdana" w:hAnsi="Verdana"/>
                            <w:sz w:val="20"/>
                            <w:szCs w:val="20"/>
                          </w:rPr>
                          <w:t>, pesquisadora do Laboratório de Bioquímica do Exercício (</w:t>
                        </w:r>
                        <w:proofErr w:type="spellStart"/>
                        <w:r>
                          <w:rPr>
                            <w:rFonts w:ascii="Verdana" w:hAnsi="Verdana"/>
                            <w:sz w:val="20"/>
                            <w:szCs w:val="20"/>
                          </w:rPr>
                          <w:t>Labex</w:t>
                        </w:r>
                        <w:proofErr w:type="spellEnd"/>
                        <w:r>
                          <w:rPr>
                            <w:rFonts w:ascii="Verdana" w:hAnsi="Verdana"/>
                            <w:sz w:val="20"/>
                            <w:szCs w:val="20"/>
                          </w:rPr>
                          <w:t xml:space="preserve">) da Universidade Estadual de Campinas (Unicamp). </w:t>
                        </w:r>
                      </w:p>
                      <w:p w:rsidR="002E572F" w:rsidRDefault="002E572F">
                        <w:pPr>
                          <w:pStyle w:val="NormalWeb"/>
                        </w:pPr>
                        <w:r>
                          <w:rPr>
                            <w:rFonts w:ascii="Verdana" w:hAnsi="Verdana"/>
                            <w:sz w:val="20"/>
                            <w:szCs w:val="20"/>
                          </w:rPr>
                          <w:t xml:space="preserve">Com os alunos do curso de especialização, Fernanda, há três anos, estuda diferentes estratégias usando quatro variações: dieta de baixo carboidrato e de baixo índice glicêmico (ambas dentro da manipulação de insulina); e de déficit energético e </w:t>
                        </w:r>
                        <w:proofErr w:type="spellStart"/>
                        <w:r>
                          <w:rPr>
                            <w:rStyle w:val="nfase"/>
                            <w:rFonts w:ascii="Verdana" w:hAnsi="Verdana"/>
                            <w:sz w:val="20"/>
                            <w:szCs w:val="20"/>
                          </w:rPr>
                          <w:t>shakes</w:t>
                        </w:r>
                        <w:proofErr w:type="spellEnd"/>
                        <w:r>
                          <w:rPr>
                            <w:rStyle w:val="nfase"/>
                            <w:rFonts w:ascii="Verdana" w:hAnsi="Verdana"/>
                            <w:sz w:val="20"/>
                            <w:szCs w:val="20"/>
                          </w:rPr>
                          <w:t xml:space="preserve"> </w:t>
                        </w:r>
                        <w:r>
                          <w:rPr>
                            <w:rFonts w:ascii="Verdana" w:hAnsi="Verdana"/>
                            <w:sz w:val="20"/>
                            <w:szCs w:val="20"/>
                          </w:rPr>
                          <w:t xml:space="preserve">(restrição de calorias). A manipulação da insulina é importante, pois se trata de um hormônio anabólico, ou seja, responsável por “guardar” as reservas de energia, diretamente ligado à ingestão de carboidratos. Reduzindo sua liberação o organismo permanece em estado </w:t>
                        </w:r>
                        <w:proofErr w:type="spellStart"/>
                        <w:r>
                          <w:rPr>
                            <w:rFonts w:ascii="Verdana" w:hAnsi="Verdana"/>
                            <w:sz w:val="20"/>
                            <w:szCs w:val="20"/>
                          </w:rPr>
                          <w:t>degradativo</w:t>
                        </w:r>
                        <w:proofErr w:type="spellEnd"/>
                        <w:r>
                          <w:rPr>
                            <w:rFonts w:ascii="Verdana" w:hAnsi="Verdana"/>
                            <w:sz w:val="20"/>
                            <w:szCs w:val="20"/>
                          </w:rPr>
                          <w:t xml:space="preserve"> (</w:t>
                        </w:r>
                        <w:proofErr w:type="spellStart"/>
                        <w:r>
                          <w:rPr>
                            <w:rFonts w:ascii="Verdana" w:hAnsi="Verdana"/>
                            <w:sz w:val="20"/>
                            <w:szCs w:val="20"/>
                          </w:rPr>
                          <w:t>catabólico</w:t>
                        </w:r>
                        <w:proofErr w:type="spellEnd"/>
                        <w:r>
                          <w:rPr>
                            <w:rFonts w:ascii="Verdana" w:hAnsi="Verdana"/>
                            <w:sz w:val="20"/>
                            <w:szCs w:val="20"/>
                          </w:rPr>
                          <w:t xml:space="preserve">). Esse objetivo é conquistado eliminando os carboidratos da dieta ou optando pelos alimentos de baixo índice glicêmico, os alimentos integrais, os quais não alteram de forma abrupta a carga de insulina liberada pelo pâncreas. </w:t>
                        </w:r>
                      </w:p>
                      <w:p w:rsidR="002E572F" w:rsidRDefault="002E572F">
                        <w:pPr>
                          <w:pStyle w:val="NormalWeb"/>
                        </w:pPr>
                        <w:r>
                          <w:rPr>
                            <w:rFonts w:ascii="Verdana" w:hAnsi="Verdana"/>
                            <w:sz w:val="20"/>
                            <w:szCs w:val="20"/>
                          </w:rPr>
                          <w:t>Os estudos sistemáticos apresentados pelo grupo da especi</w:t>
                        </w:r>
                        <w:r w:rsidR="00E30584">
                          <w:rPr>
                            <w:rFonts w:ascii="Verdana" w:hAnsi="Verdana"/>
                            <w:sz w:val="20"/>
                            <w:szCs w:val="20"/>
                          </w:rPr>
                          <w:t xml:space="preserve">alização do </w:t>
                        </w:r>
                        <w:proofErr w:type="spellStart"/>
                        <w:r w:rsidR="00E30584">
                          <w:rPr>
                            <w:rFonts w:ascii="Verdana" w:hAnsi="Verdana"/>
                            <w:sz w:val="20"/>
                            <w:szCs w:val="20"/>
                          </w:rPr>
                          <w:t>Labex</w:t>
                        </w:r>
                        <w:proofErr w:type="spellEnd"/>
                        <w:r w:rsidR="00E30584">
                          <w:rPr>
                            <w:rFonts w:ascii="Verdana" w:hAnsi="Verdana"/>
                            <w:sz w:val="20"/>
                            <w:szCs w:val="20"/>
                          </w:rPr>
                          <w:t xml:space="preserve"> mostram que t</w:t>
                        </w:r>
                        <w:r>
                          <w:rPr>
                            <w:rFonts w:ascii="Verdana" w:hAnsi="Verdana"/>
                            <w:sz w:val="20"/>
                            <w:szCs w:val="20"/>
                          </w:rPr>
                          <w:t xml:space="preserve">odas as dietas testadas apresentam resultados quanto à perda de massa gorda. “Todas possuem pontos positivos e negativos e sua adesão deve ser feita de maneira consciente e por um período de tempo determinado, sempre com acompanhamento de um profissional habilitado. E aliado ao nutricionista, o educador físico é de suma importância para que se </w:t>
                        </w:r>
                        <w:proofErr w:type="gramStart"/>
                        <w:r>
                          <w:rPr>
                            <w:rFonts w:ascii="Verdana" w:hAnsi="Verdana"/>
                            <w:sz w:val="20"/>
                            <w:szCs w:val="20"/>
                          </w:rPr>
                          <w:t>atinja</w:t>
                        </w:r>
                        <w:proofErr w:type="gramEnd"/>
                        <w:r>
                          <w:rPr>
                            <w:rFonts w:ascii="Verdana" w:hAnsi="Verdana"/>
                            <w:sz w:val="20"/>
                            <w:szCs w:val="20"/>
                          </w:rPr>
                          <w:t xml:space="preserve"> os objetivos de maneira equilibrada e saudável”, recomenda Mirtes </w:t>
                        </w:r>
                        <w:proofErr w:type="spellStart"/>
                        <w:r>
                          <w:rPr>
                            <w:rFonts w:ascii="Verdana" w:hAnsi="Verdana"/>
                            <w:sz w:val="20"/>
                            <w:szCs w:val="20"/>
                          </w:rPr>
                          <w:t>Stancan</w:t>
                        </w:r>
                        <w:r w:rsidR="00E30584">
                          <w:rPr>
                            <w:rFonts w:ascii="Verdana" w:hAnsi="Verdana"/>
                            <w:sz w:val="20"/>
                            <w:szCs w:val="20"/>
                          </w:rPr>
                          <w:t>elli</w:t>
                        </w:r>
                        <w:proofErr w:type="spellEnd"/>
                        <w:r w:rsidR="00E30584">
                          <w:rPr>
                            <w:rFonts w:ascii="Verdana" w:hAnsi="Verdana"/>
                            <w:sz w:val="20"/>
                            <w:szCs w:val="20"/>
                          </w:rPr>
                          <w:t>, nutricionista do grupo, m</w:t>
                        </w:r>
                        <w:r>
                          <w:rPr>
                            <w:rFonts w:ascii="Verdana" w:hAnsi="Verdana"/>
                            <w:sz w:val="20"/>
                            <w:szCs w:val="20"/>
                          </w:rPr>
                          <w:t xml:space="preserve">estre em biologia funcional e </w:t>
                        </w:r>
                        <w:r>
                          <w:rPr>
                            <w:rFonts w:ascii="Verdana" w:hAnsi="Verdana"/>
                            <w:sz w:val="20"/>
                            <w:szCs w:val="20"/>
                          </w:rPr>
                          <w:lastRenderedPageBreak/>
                          <w:t xml:space="preserve">molecular pela Unicamp e membro do </w:t>
                        </w:r>
                        <w:proofErr w:type="spellStart"/>
                        <w:r>
                          <w:rPr>
                            <w:rFonts w:ascii="Verdana" w:hAnsi="Verdana"/>
                            <w:sz w:val="20"/>
                            <w:szCs w:val="20"/>
                          </w:rPr>
                          <w:t>Labex</w:t>
                        </w:r>
                        <w:proofErr w:type="spellEnd"/>
                        <w:r>
                          <w:rPr>
                            <w:rFonts w:ascii="Verdana" w:hAnsi="Verdana"/>
                            <w:sz w:val="20"/>
                            <w:szCs w:val="20"/>
                          </w:rPr>
                          <w:t xml:space="preserve">. </w:t>
                        </w:r>
                      </w:p>
                      <w:p w:rsidR="002E572F" w:rsidRDefault="002E572F">
                        <w:pPr>
                          <w:pStyle w:val="NormalWeb"/>
                        </w:pPr>
                        <w:r>
                          <w:rPr>
                            <w:rStyle w:val="Forte"/>
                            <w:rFonts w:ascii="Verdana" w:hAnsi="Verdana"/>
                            <w:sz w:val="20"/>
                            <w:szCs w:val="20"/>
                          </w:rPr>
                          <w:t xml:space="preserve">Alta taxa de desistência </w:t>
                        </w:r>
                      </w:p>
                      <w:p w:rsidR="002E572F" w:rsidRDefault="002E572F">
                        <w:pPr>
                          <w:pStyle w:val="NormalWeb"/>
                        </w:pPr>
                        <w:r>
                          <w:rPr>
                            <w:rFonts w:ascii="Verdana" w:hAnsi="Verdana"/>
                            <w:sz w:val="20"/>
                            <w:szCs w:val="20"/>
                          </w:rPr>
                          <w:t xml:space="preserve">As dietas estão longe de serem soluções perfeitas e não raro trazem efeitos colaterais indesejados. A restrição ao carboidrato, por exemplo, se parece ter vantagem entre as demais em relação </w:t>
                        </w:r>
                        <w:proofErr w:type="gramStart"/>
                        <w:r>
                          <w:rPr>
                            <w:rFonts w:ascii="Verdana" w:hAnsi="Verdana"/>
                            <w:sz w:val="20"/>
                            <w:szCs w:val="20"/>
                          </w:rPr>
                          <w:t>à ?</w:t>
                        </w:r>
                        <w:proofErr w:type="gramEnd"/>
                        <w:r>
                          <w:rPr>
                            <w:rFonts w:ascii="Verdana" w:hAnsi="Verdana"/>
                            <w:sz w:val="20"/>
                            <w:szCs w:val="20"/>
                          </w:rPr>
                          <w:t xml:space="preserve"> </w:t>
                        </w:r>
                        <w:proofErr w:type="gramStart"/>
                        <w:r>
                          <w:rPr>
                            <w:rFonts w:ascii="Verdana" w:hAnsi="Verdana"/>
                            <w:sz w:val="20"/>
                            <w:szCs w:val="20"/>
                          </w:rPr>
                          <w:t>rápida</w:t>
                        </w:r>
                        <w:proofErr w:type="gramEnd"/>
                        <w:r>
                          <w:rPr>
                            <w:rFonts w:ascii="Verdana" w:hAnsi="Verdana"/>
                            <w:sz w:val="20"/>
                            <w:szCs w:val="20"/>
                          </w:rPr>
                          <w:t xml:space="preserve"> perda de peso, também é uma das mais contra indicadas, e muitos simplesmente não conseguem segui-la. Nas pesquisas analisadas pela revisão do grupo da UFRGS a chance de o indivíduo “sorteado” para uma dieta restrita em carboidratos não completar o estudo foi de 80% quando comparados aos seguidores de uma dieta com baixo teor de gorduras. “A dieta de b </w:t>
                        </w:r>
                        <w:proofErr w:type="spellStart"/>
                        <w:r>
                          <w:rPr>
                            <w:rFonts w:ascii="Verdana" w:hAnsi="Verdana"/>
                            <w:sz w:val="20"/>
                            <w:szCs w:val="20"/>
                          </w:rPr>
                          <w:t>aixo</w:t>
                        </w:r>
                        <w:proofErr w:type="spellEnd"/>
                        <w:r>
                          <w:rPr>
                            <w:rFonts w:ascii="Verdana" w:hAnsi="Verdana"/>
                            <w:sz w:val="20"/>
                            <w:szCs w:val="20"/>
                          </w:rPr>
                          <w:t xml:space="preserve"> carboidrato é deficiente em sais minerais, fibras e apresenta desbalanceamento de nutrientes, sendo recomendada por um curto prazo. Já a de baixo índice glicêmico é mais balanceada e pode se tornar um estilo de vida, o que é fundamental”, alerta Mirtes. </w:t>
                        </w:r>
                      </w:p>
                      <w:p w:rsidR="002E572F" w:rsidRDefault="002E572F">
                        <w:pPr>
                          <w:pStyle w:val="NormalWeb"/>
                        </w:pPr>
                        <w:r>
                          <w:rPr>
                            <w:rFonts w:ascii="Verdana" w:hAnsi="Verdana"/>
                            <w:sz w:val="20"/>
                            <w:szCs w:val="20"/>
                          </w:rPr>
                          <w:t xml:space="preserve">Mas nenhuma dieta é fácil. “O </w:t>
                        </w:r>
                        <w:proofErr w:type="spellStart"/>
                        <w:r>
                          <w:rPr>
                            <w:rFonts w:ascii="Verdana" w:hAnsi="Verdana"/>
                            <w:sz w:val="20"/>
                            <w:szCs w:val="20"/>
                          </w:rPr>
                          <w:t>pentáculo</w:t>
                        </w:r>
                        <w:proofErr w:type="spellEnd"/>
                        <w:r>
                          <w:rPr>
                            <w:rFonts w:ascii="Verdana" w:hAnsi="Verdana"/>
                            <w:sz w:val="20"/>
                            <w:szCs w:val="20"/>
                          </w:rPr>
                          <w:t xml:space="preserve"> do desespero que leva à obesidade é composto por itens facilmente encontrados em doces e alimentos gordurosos: prático, rápido, gostoso, proporciona bom humor e é barato", elenca Mirtes. Mais da metade dos estudos incluídos na revisão apresentou taxa de abandono a pelo menos um tipo de dieta igual ou maior a 25%, mostrando que a decisão de começar é apenas </w:t>
                        </w:r>
                        <w:proofErr w:type="gramStart"/>
                        <w:r>
                          <w:rPr>
                            <w:rFonts w:ascii="Verdana" w:hAnsi="Verdana"/>
                            <w:sz w:val="20"/>
                            <w:szCs w:val="20"/>
                          </w:rPr>
                          <w:t>o primeiro</w:t>
                        </w:r>
                        <w:proofErr w:type="gramEnd"/>
                        <w:r>
                          <w:rPr>
                            <w:rFonts w:ascii="Verdana" w:hAnsi="Verdana"/>
                            <w:sz w:val="20"/>
                            <w:szCs w:val="20"/>
                          </w:rPr>
                          <w:t xml:space="preserve"> passo de uma longa e difícil jornada. </w:t>
                        </w:r>
                      </w:p>
                      <w:p w:rsidR="002E572F" w:rsidRDefault="002E572F">
                        <w:pPr>
                          <w:pStyle w:val="NormalWeb"/>
                        </w:pPr>
                        <w:r>
                          <w:rPr>
                            <w:rStyle w:val="Forte"/>
                            <w:rFonts w:ascii="Verdana" w:hAnsi="Verdana"/>
                            <w:sz w:val="20"/>
                            <w:szCs w:val="20"/>
                          </w:rPr>
                          <w:t xml:space="preserve">Motivação como chave no cardápio </w:t>
                        </w:r>
                      </w:p>
                      <w:p w:rsidR="002E572F" w:rsidRDefault="002E572F">
                        <w:pPr>
                          <w:pStyle w:val="NormalWeb"/>
                        </w:pPr>
                        <w:r>
                          <w:rPr>
                            <w:rFonts w:ascii="Verdana" w:hAnsi="Verdana"/>
                            <w:sz w:val="20"/>
                            <w:szCs w:val="20"/>
                          </w:rPr>
                          <w:t xml:space="preserve">Ainda não foi descoberta a fórmula ideal, mas os ingredientes vão muito além do que se põe à mesa. Exercício físico e determinação são fundamentais, e ajustar o estilo de vida pode requerer terapia. A psicologia, além de auxiliar a pessoa a aderir às orientações do nutricionista e a persistir no processo de mudança de hábitos, é responsável por trabalhar aspectos comportamentais, cognitivos e emocionais, sem os quais ela não obterá sucesso, principalmente em longo prazo. “Uma avaliação psicológica cuidadosa inicial é muito importante para captar de antemão o que pode tornar o seguimento da dieta um fracasso. A presença do Transtorno da Compulsão Alimentar Periódica (no qual há a ingestão sem controle de grandes quantidades de comida, porém sem comportamentos compensatórios, como na bulimia nervosa) é um exemplo. Se não for tratado adequadamente, de nada adianta começar uma mudança alimentar. Mas não apenas quando alguma psicopatologia está presente a psicologia se faz necessária. Algumas expectativas irrealistas também interferem muito no processo. Por exemplo, a expectativa de um milagre, colocando toda a responsabilidade na dieta, no método novo, no remédio novo”, explica Lia </w:t>
                        </w:r>
                        <w:proofErr w:type="spellStart"/>
                        <w:r>
                          <w:rPr>
                            <w:rFonts w:ascii="Verdana" w:hAnsi="Verdana"/>
                            <w:sz w:val="20"/>
                            <w:szCs w:val="20"/>
                          </w:rPr>
                          <w:t>Ades</w:t>
                        </w:r>
                        <w:proofErr w:type="spellEnd"/>
                        <w:r>
                          <w:rPr>
                            <w:rFonts w:ascii="Verdana" w:hAnsi="Verdana"/>
                            <w:sz w:val="20"/>
                            <w:szCs w:val="20"/>
                          </w:rPr>
                          <w:t xml:space="preserve"> </w:t>
                        </w:r>
                        <w:proofErr w:type="spellStart"/>
                        <w:r>
                          <w:rPr>
                            <w:rFonts w:ascii="Verdana" w:hAnsi="Verdana"/>
                            <w:sz w:val="20"/>
                            <w:szCs w:val="20"/>
                          </w:rPr>
                          <w:t>Gabbay</w:t>
                        </w:r>
                        <w:proofErr w:type="spellEnd"/>
                        <w:r>
                          <w:rPr>
                            <w:rFonts w:ascii="Verdana" w:hAnsi="Verdana"/>
                            <w:sz w:val="20"/>
                            <w:szCs w:val="20"/>
                          </w:rPr>
                          <w:t xml:space="preserve">, psicóloga com especialização em psicologia </w:t>
                        </w:r>
                        <w:proofErr w:type="gramStart"/>
                        <w:r>
                          <w:rPr>
                            <w:rFonts w:ascii="Verdana" w:hAnsi="Verdana"/>
                            <w:sz w:val="20"/>
                            <w:szCs w:val="20"/>
                          </w:rPr>
                          <w:t>do comportamento alimentar</w:t>
                        </w:r>
                        <w:proofErr w:type="gramEnd"/>
                        <w:r>
                          <w:rPr>
                            <w:rFonts w:ascii="Verdana" w:hAnsi="Verdana"/>
                            <w:sz w:val="20"/>
                            <w:szCs w:val="20"/>
                          </w:rPr>
                          <w:t xml:space="preserve">, t </w:t>
                        </w:r>
                        <w:proofErr w:type="spellStart"/>
                        <w:r>
                          <w:rPr>
                            <w:rFonts w:ascii="Verdana" w:hAnsi="Verdana"/>
                            <w:sz w:val="20"/>
                            <w:szCs w:val="20"/>
                          </w:rPr>
                          <w:t>ranstornos</w:t>
                        </w:r>
                        <w:proofErr w:type="spellEnd"/>
                        <w:r>
                          <w:rPr>
                            <w:rFonts w:ascii="Verdana" w:hAnsi="Verdana"/>
                            <w:sz w:val="20"/>
                            <w:szCs w:val="20"/>
                          </w:rPr>
                          <w:t xml:space="preserve"> alimentares e obesidade. </w:t>
                        </w:r>
                      </w:p>
                      <w:p w:rsidR="002E572F" w:rsidRDefault="002E572F">
                        <w:pPr>
                          <w:pStyle w:val="NormalWeb"/>
                        </w:pPr>
                        <w:r>
                          <w:rPr>
                            <w:rFonts w:ascii="Verdana" w:hAnsi="Verdana"/>
                            <w:sz w:val="20"/>
                            <w:szCs w:val="20"/>
                          </w:rPr>
                          <w:t xml:space="preserve">Lia explica que os repetidos fracassos acabam por minar a motivação. “A </w:t>
                        </w:r>
                        <w:proofErr w:type="spellStart"/>
                        <w:r>
                          <w:rPr>
                            <w:rFonts w:ascii="Verdana" w:hAnsi="Verdana"/>
                            <w:sz w:val="20"/>
                            <w:szCs w:val="20"/>
                          </w:rPr>
                          <w:t>autoeficácia</w:t>
                        </w:r>
                        <w:proofErr w:type="spellEnd"/>
                        <w:r>
                          <w:rPr>
                            <w:rFonts w:ascii="Verdana" w:hAnsi="Verdana"/>
                            <w:sz w:val="20"/>
                            <w:szCs w:val="20"/>
                          </w:rPr>
                          <w:t xml:space="preserve"> é a avaliação que cada um faz de sua própria </w:t>
                        </w:r>
                        <w:proofErr w:type="gramStart"/>
                        <w:r>
                          <w:rPr>
                            <w:rFonts w:ascii="Verdana" w:hAnsi="Verdana"/>
                            <w:sz w:val="20"/>
                            <w:szCs w:val="20"/>
                          </w:rPr>
                          <w:t>performance</w:t>
                        </w:r>
                        <w:proofErr w:type="gramEnd"/>
                        <w:r>
                          <w:rPr>
                            <w:rFonts w:ascii="Verdana" w:hAnsi="Verdana"/>
                            <w:sz w:val="20"/>
                            <w:szCs w:val="20"/>
                          </w:rPr>
                          <w:t xml:space="preserve">, sua ação no mundo, sua capacidade de modificar as coisas por si mesmo. Quanto mais experiências de fracasso, menor a </w:t>
                        </w:r>
                        <w:proofErr w:type="spellStart"/>
                        <w:r>
                          <w:rPr>
                            <w:rFonts w:ascii="Verdana" w:hAnsi="Verdana"/>
                            <w:sz w:val="20"/>
                            <w:szCs w:val="20"/>
                          </w:rPr>
                          <w:t>autoeficácia</w:t>
                        </w:r>
                        <w:proofErr w:type="spellEnd"/>
                        <w:r>
                          <w:rPr>
                            <w:rFonts w:ascii="Verdana" w:hAnsi="Verdana"/>
                            <w:sz w:val="20"/>
                            <w:szCs w:val="20"/>
                          </w:rPr>
                          <w:t xml:space="preserve"> da pessoa e menor a garantia de que ela vá persistir em seus esforços ao longo do tempo. A pessoa desacredita na sua capacidade de mudar”, completa a especialista. </w:t>
                        </w:r>
                      </w:p>
                      <w:p w:rsidR="002E572F" w:rsidRDefault="002E572F">
                        <w:pPr>
                          <w:pStyle w:val="NormalWeb"/>
                        </w:pPr>
                        <w:r>
                          <w:rPr>
                            <w:rFonts w:ascii="Verdana" w:hAnsi="Verdana"/>
                            <w:sz w:val="20"/>
                            <w:szCs w:val="20"/>
                          </w:rPr>
                          <w:t xml:space="preserve">Já a atividade física entra no cardápio não apenas pelo gasto calórico adicional, mas promovendo uma troca química essencial. Alimentos gordurosos e açucarados influem diretamente no sistema de neurotransmissores do bem-estar como </w:t>
                        </w:r>
                        <w:proofErr w:type="spellStart"/>
                        <w:r>
                          <w:rPr>
                            <w:rFonts w:ascii="Verdana" w:hAnsi="Verdana"/>
                            <w:sz w:val="20"/>
                            <w:szCs w:val="20"/>
                          </w:rPr>
                          <w:t>serotonina</w:t>
                        </w:r>
                        <w:proofErr w:type="spellEnd"/>
                        <w:r>
                          <w:rPr>
                            <w:rFonts w:ascii="Verdana" w:hAnsi="Verdana"/>
                            <w:sz w:val="20"/>
                            <w:szCs w:val="20"/>
                          </w:rPr>
                          <w:t xml:space="preserve"> e dopamina, por isso é tão difícil abandoná-los e, muitas vezes, as etapas da dieta são semelhantes às da recuperação de um adicto em álcool ou drogas: conscientização, gestão de relacionamentos, hábitos saudáveis e prevenção a recaídas. É preciso gerar prazer de outra forma que não a comida, e o exercício </w:t>
                        </w:r>
                        <w:proofErr w:type="gramStart"/>
                        <w:r>
                          <w:rPr>
                            <w:rFonts w:ascii="Verdana" w:hAnsi="Verdana"/>
                            <w:sz w:val="20"/>
                            <w:szCs w:val="20"/>
                          </w:rPr>
                          <w:t>fornece</w:t>
                        </w:r>
                        <w:proofErr w:type="gramEnd"/>
                        <w:r>
                          <w:rPr>
                            <w:rFonts w:ascii="Verdana" w:hAnsi="Verdana"/>
                            <w:sz w:val="20"/>
                            <w:szCs w:val="20"/>
                          </w:rPr>
                          <w:t xml:space="preserve"> endorfina e dopamina livres de calorias. Além disso, ajuda na tomada de consciência corporal e aumenta o metabolismo basal. “Uma dieta com menos de 1.200 calorias não atende às necessidades de nutrientes diárias. Assim, é melhor fazer uma restrição moderada garantindo a boa nutrição e aumentar o gasto com a atividade física. Uma alimentação equilibrada vai contribuir para a produção de </w:t>
                        </w:r>
                        <w:proofErr w:type="spellStart"/>
                        <w:r>
                          <w:rPr>
                            <w:rFonts w:ascii="Verdana" w:hAnsi="Verdana"/>
                            <w:sz w:val="20"/>
                            <w:szCs w:val="20"/>
                          </w:rPr>
                          <w:t>serotonina</w:t>
                        </w:r>
                        <w:proofErr w:type="spellEnd"/>
                        <w:r>
                          <w:rPr>
                            <w:rFonts w:ascii="Verdana" w:hAnsi="Verdana"/>
                            <w:sz w:val="20"/>
                            <w:szCs w:val="20"/>
                          </w:rPr>
                          <w:t xml:space="preserve">, que contribui para evitar a </w:t>
                        </w:r>
                        <w:r>
                          <w:rPr>
                            <w:rFonts w:ascii="Verdana" w:hAnsi="Verdana"/>
                            <w:sz w:val="20"/>
                            <w:szCs w:val="20"/>
                          </w:rPr>
                          <w:lastRenderedPageBreak/>
                          <w:t xml:space="preserve">compulsão alimentar por doces, </w:t>
                        </w:r>
                        <w:proofErr w:type="gramStart"/>
                        <w:r>
                          <w:rPr>
                            <w:rFonts w:ascii="Verdana" w:hAnsi="Verdana"/>
                            <w:sz w:val="20"/>
                            <w:szCs w:val="20"/>
                          </w:rPr>
                          <w:t>por exemplo</w:t>
                        </w:r>
                        <w:proofErr w:type="gramEnd"/>
                        <w:r>
                          <w:rPr>
                            <w:rFonts w:ascii="Verdana" w:hAnsi="Verdana"/>
                            <w:sz w:val="20"/>
                            <w:szCs w:val="20"/>
                          </w:rPr>
                          <w:t xml:space="preserve">”, orienta Luciana. </w:t>
                        </w:r>
                      </w:p>
                      <w:p w:rsidR="002E572F" w:rsidRDefault="002E572F">
                        <w:pPr>
                          <w:pStyle w:val="NormalWeb"/>
                        </w:pPr>
                        <w:r>
                          <w:rPr>
                            <w:rFonts w:ascii="Verdana" w:hAnsi="Verdana"/>
                            <w:sz w:val="20"/>
                            <w:szCs w:val="20"/>
                          </w:rPr>
                          <w:t>Essa perigosa junção de insatisfação pessoal, angústia com o próprio corpo e a imagem irreal de famosos, belos, magros, ricos e felizes é certamente a única receita que não deveria estar no cardápio. “As pessoas devem ter uma postura realista: não existe medicamento ou dieta milagrosa para obesidade. Mesmo que em alguns casos a perda de peso seja rápida, com certeza ela não será mantida e ainda existe o risco de levar o paciente à deficiência de algum nutriente. Diante de uma promessa milagrosa para perder peso, não caia na tentação. Procure um especialista para esclarecer suas dúvidas”, recomenda Maria Edna de Melo, do Grupo de Obesidade e Síndrome Metabólica do Hospital das Clínicas da USP e diretora da Associação Brasileira para Estudo da Obesidade e da Síndrome Metabólica (</w:t>
                        </w:r>
                        <w:proofErr w:type="spellStart"/>
                        <w:r>
                          <w:rPr>
                            <w:rFonts w:ascii="Verdana" w:hAnsi="Verdana"/>
                            <w:sz w:val="20"/>
                            <w:szCs w:val="20"/>
                          </w:rPr>
                          <w:t>Abeso</w:t>
                        </w:r>
                        <w:proofErr w:type="spellEnd"/>
                        <w:r>
                          <w:rPr>
                            <w:rFonts w:ascii="Verdana" w:hAnsi="Verdana"/>
                            <w:sz w:val="20"/>
                            <w:szCs w:val="20"/>
                          </w:rPr>
                          <w:t xml:space="preserve">). </w:t>
                        </w:r>
                      </w:p>
                      <w:tbl>
                        <w:tblPr>
                          <w:tblW w:w="75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500"/>
                        </w:tblGrid>
                        <w:tr w:rsidR="002E572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E572F" w:rsidRDefault="002E572F">
                              <w:pPr>
                                <w:pStyle w:val="NormalWeb"/>
                              </w:pPr>
                              <w:r>
                                <w:rPr>
                                  <w:rStyle w:val="Forte"/>
                                  <w:rFonts w:ascii="Verdana" w:hAnsi="Verdana"/>
                                  <w:sz w:val="20"/>
                                  <w:szCs w:val="20"/>
                                </w:rPr>
                                <w:t xml:space="preserve">Ciência, tecnologia e comunidade </w:t>
                              </w:r>
                            </w:p>
                            <w:p w:rsidR="002E572F" w:rsidRDefault="002E572F">
                              <w:pPr>
                                <w:pStyle w:val="NormalWeb"/>
                              </w:pPr>
                              <w:r>
                                <w:rPr>
                                  <w:rFonts w:ascii="Verdana" w:hAnsi="Verdana"/>
                                  <w:sz w:val="20"/>
                                  <w:szCs w:val="20"/>
                                </w:rPr>
                                <w:t xml:space="preserve">A complexidade do tema já chegou à tecnologia. Aplicativos de celular já estão se tornando mais uma ferramenta para uso das dietas. Há para todos os gostos: de diário de alimentos consumidos a aplicativo que conta as calorias do prato – bastando apenas uma foto da refeição. Um estudo da Universidade da Carolina do Sul usou recentemente o </w:t>
                              </w:r>
                              <w:proofErr w:type="spellStart"/>
                              <w:r>
                                <w:rPr>
                                  <w:rFonts w:ascii="Verdana" w:hAnsi="Verdana"/>
                                  <w:sz w:val="20"/>
                                  <w:szCs w:val="20"/>
                                </w:rPr>
                                <w:t>Twitter</w:t>
                              </w:r>
                              <w:proofErr w:type="spellEnd"/>
                              <w:r>
                                <w:rPr>
                                  <w:rFonts w:ascii="Verdana" w:hAnsi="Verdana"/>
                                  <w:sz w:val="20"/>
                                  <w:szCs w:val="20"/>
                                </w:rPr>
                                <w:t xml:space="preserve"> para comprovar o poder da ferramenta social para o sucesso da dieta – e, de fato, o grupo mostrou melhores resultados que o grupo controle. Outro </w:t>
                              </w:r>
                              <w:hyperlink r:id="rId8" w:tgtFrame="_blank" w:history="1">
                                <w:r>
                                  <w:rPr>
                                    <w:rStyle w:val="Hyperlink"/>
                                    <w:rFonts w:ascii="Verdana" w:hAnsi="Verdana"/>
                                    <w:sz w:val="20"/>
                                    <w:szCs w:val="20"/>
                                  </w:rPr>
                                  <w:t>estudo</w:t>
                                </w:r>
                              </w:hyperlink>
                              <w:r>
                                <w:rPr>
                                  <w:rFonts w:ascii="Verdana" w:hAnsi="Verdana"/>
                                  <w:sz w:val="20"/>
                                  <w:szCs w:val="20"/>
                                </w:rPr>
                                <w:t xml:space="preserve">, da Universidade </w:t>
                              </w:r>
                              <w:proofErr w:type="spellStart"/>
                              <w:proofErr w:type="gramStart"/>
                              <w:r>
                                <w:rPr>
                                  <w:rFonts w:ascii="Verdana" w:hAnsi="Verdana"/>
                                  <w:sz w:val="20"/>
                                  <w:szCs w:val="20"/>
                                </w:rPr>
                                <w:t>NorthShore</w:t>
                              </w:r>
                              <w:proofErr w:type="spellEnd"/>
                              <w:proofErr w:type="gramEnd"/>
                              <w:r>
                                <w:rPr>
                                  <w:rFonts w:ascii="Verdana" w:hAnsi="Verdana"/>
                                  <w:sz w:val="20"/>
                                  <w:szCs w:val="20"/>
                                </w:rPr>
                                <w:t xml:space="preserve"> publicado na revista </w:t>
                              </w:r>
                              <w:proofErr w:type="spellStart"/>
                              <w:r>
                                <w:rPr>
                                  <w:rFonts w:ascii="Verdana" w:hAnsi="Verdana"/>
                                  <w:sz w:val="20"/>
                                  <w:szCs w:val="20"/>
                                </w:rPr>
                                <w:t>Archives</w:t>
                              </w:r>
                              <w:proofErr w:type="spellEnd"/>
                              <w:r>
                                <w:rPr>
                                  <w:rFonts w:ascii="Verdana" w:hAnsi="Verdana"/>
                                  <w:sz w:val="20"/>
                                  <w:szCs w:val="20"/>
                                </w:rPr>
                                <w:t xml:space="preserve"> </w:t>
                              </w:r>
                              <w:proofErr w:type="spellStart"/>
                              <w:r>
                                <w:rPr>
                                  <w:rFonts w:ascii="Verdana" w:hAnsi="Verdana"/>
                                  <w:sz w:val="20"/>
                                  <w:szCs w:val="20"/>
                                </w:rPr>
                                <w:t>of</w:t>
                              </w:r>
                              <w:proofErr w:type="spellEnd"/>
                              <w:r>
                                <w:rPr>
                                  <w:rFonts w:ascii="Verdana" w:hAnsi="Verdana"/>
                                  <w:sz w:val="20"/>
                                  <w:szCs w:val="20"/>
                                </w:rPr>
                                <w:t xml:space="preserve"> </w:t>
                              </w:r>
                              <w:proofErr w:type="spellStart"/>
                              <w:r>
                                <w:rPr>
                                  <w:rFonts w:ascii="Verdana" w:hAnsi="Verdana"/>
                                  <w:sz w:val="20"/>
                                  <w:szCs w:val="20"/>
                                </w:rPr>
                                <w:t>Internal</w:t>
                              </w:r>
                              <w:proofErr w:type="spellEnd"/>
                              <w:r>
                                <w:rPr>
                                  <w:rFonts w:ascii="Verdana" w:hAnsi="Verdana"/>
                                  <w:sz w:val="20"/>
                                  <w:szCs w:val="20"/>
                                </w:rPr>
                                <w:t xml:space="preserve"> Medicine (edição 173, Vol.2, 2013), recrutou 69 adultos obesos. Parte do grupo usava as tecnologias móveis como o celular como parte da dieta, registrando o consumo de calorias, e após três meses 36% já haviam perdido pelo menos 5% do peso, fato não verificado no grupo controle. O auxílio da tecnologia parece servir a dois propósitos que ajudam a manutenção da dieta, o primeiro sendo fonte de informações valiosas acerca de alimentos e hábitos, e o segundo é por proporcionar a exposição a uma comunidade incentivadora, celebrando as conquistas e monitorando os deslizes na alimentação. </w:t>
                              </w:r>
                            </w:p>
                          </w:tc>
                        </w:tr>
                      </w:tbl>
                      <w:p w:rsidR="002E572F" w:rsidRDefault="002E572F">
                        <w:pPr>
                          <w:jc w:val="center"/>
                          <w:rPr>
                            <w:sz w:val="24"/>
                            <w:szCs w:val="24"/>
                          </w:rPr>
                        </w:pPr>
                      </w:p>
                    </w:tc>
                  </w:tr>
                </w:tbl>
                <w:p w:rsidR="002E572F" w:rsidRDefault="002E572F">
                  <w:pPr>
                    <w:rPr>
                      <w:sz w:val="24"/>
                      <w:szCs w:val="24"/>
                    </w:rPr>
                  </w:pPr>
                </w:p>
              </w:tc>
            </w:tr>
          </w:tbl>
          <w:p w:rsidR="002E572F" w:rsidRDefault="002E572F">
            <w:pPr>
              <w:rPr>
                <w:sz w:val="24"/>
                <w:szCs w:val="24"/>
              </w:rPr>
            </w:pPr>
          </w:p>
        </w:tc>
      </w:tr>
    </w:tbl>
    <w:p w:rsidR="00B0107B" w:rsidRDefault="002F334B">
      <w:pPr>
        <w:rPr>
          <w:color w:val="00B0F0"/>
        </w:rPr>
      </w:pPr>
      <w:r w:rsidRPr="002F334B">
        <w:rPr>
          <w:color w:val="00B0F0"/>
        </w:rPr>
        <w:lastRenderedPageBreak/>
        <w:t xml:space="preserve">Artigo </w:t>
      </w:r>
      <w:r>
        <w:rPr>
          <w:color w:val="00B0F0"/>
        </w:rPr>
        <w:t>(traduzir para pegar o macete sobre método e resultado para ensinar os alunos a fazer o projeto)</w:t>
      </w:r>
    </w:p>
    <w:p w:rsidR="002F334B" w:rsidRDefault="00091405">
      <w:pPr>
        <w:rPr>
          <w:color w:val="00B0F0"/>
        </w:rPr>
      </w:pPr>
      <w:hyperlink r:id="rId9" w:history="1">
        <w:r w:rsidR="002F334B" w:rsidRPr="00F700B3">
          <w:rPr>
            <w:rStyle w:val="Hyperlink"/>
          </w:rPr>
          <w:t>http://www.nejm.org/doi/full/10.1056/NEJMsa1208051</w:t>
        </w:r>
      </w:hyperlink>
      <w:r w:rsidR="002F334B">
        <w:rPr>
          <w:color w:val="00B0F0"/>
        </w:rPr>
        <w:t xml:space="preserve"> (acesso em 24/02/2013)</w:t>
      </w:r>
    </w:p>
    <w:p w:rsidR="002F334B" w:rsidRPr="002F334B" w:rsidRDefault="002F334B" w:rsidP="002F334B">
      <w:pPr>
        <w:pStyle w:val="articletype"/>
        <w:rPr>
          <w:lang w:val="en-US"/>
        </w:rPr>
      </w:pPr>
      <w:r w:rsidRPr="002F334B">
        <w:rPr>
          <w:lang w:val="en-US"/>
        </w:rPr>
        <w:t>Special Article</w:t>
      </w:r>
    </w:p>
    <w:p w:rsidR="002F334B" w:rsidRPr="002F334B" w:rsidRDefault="002F334B" w:rsidP="002F334B">
      <w:pPr>
        <w:pStyle w:val="Ttulo1"/>
        <w:rPr>
          <w:lang w:val="en-US"/>
        </w:rPr>
      </w:pPr>
      <w:r w:rsidRPr="002F334B">
        <w:rPr>
          <w:lang w:val="en-US"/>
        </w:rPr>
        <w:t>Myths, Presumptions, and Facts about Obesity</w:t>
      </w:r>
    </w:p>
    <w:p w:rsidR="002F334B" w:rsidRPr="002F334B" w:rsidRDefault="002F334B" w:rsidP="002F334B">
      <w:pPr>
        <w:pStyle w:val="authors"/>
        <w:rPr>
          <w:lang w:val="en-US"/>
        </w:rPr>
      </w:pPr>
      <w:r w:rsidRPr="002F334B">
        <w:rPr>
          <w:lang w:val="en-US"/>
        </w:rPr>
        <w:t xml:space="preserve">Krista </w:t>
      </w:r>
      <w:proofErr w:type="spellStart"/>
      <w:r w:rsidRPr="002F334B">
        <w:rPr>
          <w:lang w:val="en-US"/>
        </w:rPr>
        <w:t>Casazza</w:t>
      </w:r>
      <w:proofErr w:type="spellEnd"/>
      <w:r w:rsidRPr="002F334B">
        <w:rPr>
          <w:lang w:val="en-US"/>
        </w:rPr>
        <w:t xml:space="preserve">, Ph.D., R.D., Kevin R. Fontaine, Ph.D., Arne </w:t>
      </w:r>
      <w:proofErr w:type="spellStart"/>
      <w:r w:rsidRPr="002F334B">
        <w:rPr>
          <w:lang w:val="en-US"/>
        </w:rPr>
        <w:t>Astrup</w:t>
      </w:r>
      <w:proofErr w:type="spellEnd"/>
      <w:r w:rsidRPr="002F334B">
        <w:rPr>
          <w:lang w:val="en-US"/>
        </w:rPr>
        <w:t xml:space="preserve">, M.D., Ph.D., Leann L. Birch, Ph.D., Andrew W. Brown, Ph.D., Michelle M. </w:t>
      </w:r>
      <w:proofErr w:type="spellStart"/>
      <w:r w:rsidRPr="002F334B">
        <w:rPr>
          <w:lang w:val="en-US"/>
        </w:rPr>
        <w:t>Bohan</w:t>
      </w:r>
      <w:proofErr w:type="spellEnd"/>
      <w:r w:rsidRPr="002F334B">
        <w:rPr>
          <w:lang w:val="en-US"/>
        </w:rPr>
        <w:t xml:space="preserve"> Brown, Ph.D., Nefertiti Durant, M.D., M.P.H., Gareth Dutton, Ph.D., E. Michael Foster, Ph.D., Steven B. </w:t>
      </w:r>
      <w:proofErr w:type="spellStart"/>
      <w:r w:rsidRPr="002F334B">
        <w:rPr>
          <w:lang w:val="en-US"/>
        </w:rPr>
        <w:t>Heymsfield</w:t>
      </w:r>
      <w:proofErr w:type="spellEnd"/>
      <w:r w:rsidRPr="002F334B">
        <w:rPr>
          <w:lang w:val="en-US"/>
        </w:rPr>
        <w:t xml:space="preserve">, M.D., Kerry McIver, M.S., </w:t>
      </w:r>
      <w:proofErr w:type="spellStart"/>
      <w:r w:rsidRPr="002F334B">
        <w:rPr>
          <w:lang w:val="en-US"/>
        </w:rPr>
        <w:t>Tapan</w:t>
      </w:r>
      <w:proofErr w:type="spellEnd"/>
      <w:r w:rsidRPr="002F334B">
        <w:rPr>
          <w:lang w:val="en-US"/>
        </w:rPr>
        <w:t xml:space="preserve"> Mehta, M.S., </w:t>
      </w:r>
      <w:proofErr w:type="spellStart"/>
      <w:r w:rsidRPr="002F334B">
        <w:rPr>
          <w:lang w:val="en-US"/>
        </w:rPr>
        <w:t>Nir</w:t>
      </w:r>
      <w:proofErr w:type="spellEnd"/>
      <w:r w:rsidRPr="002F334B">
        <w:rPr>
          <w:lang w:val="en-US"/>
        </w:rPr>
        <w:t xml:space="preserve"> </w:t>
      </w:r>
      <w:proofErr w:type="spellStart"/>
      <w:r w:rsidRPr="002F334B">
        <w:rPr>
          <w:lang w:val="en-US"/>
        </w:rPr>
        <w:t>Menachemi</w:t>
      </w:r>
      <w:proofErr w:type="spellEnd"/>
      <w:r w:rsidRPr="002F334B">
        <w:rPr>
          <w:lang w:val="en-US"/>
        </w:rPr>
        <w:t xml:space="preserve">, Ph.D., P.K. Newby, Sc.D., M.P.H., Russell Pate, Ph.D., Barbara J. Rolls, Ph.D., </w:t>
      </w:r>
      <w:proofErr w:type="spellStart"/>
      <w:r w:rsidRPr="002F334B">
        <w:rPr>
          <w:lang w:val="en-US"/>
        </w:rPr>
        <w:t>Bisakha</w:t>
      </w:r>
      <w:proofErr w:type="spellEnd"/>
      <w:r w:rsidRPr="002F334B">
        <w:rPr>
          <w:lang w:val="en-US"/>
        </w:rPr>
        <w:t xml:space="preserve"> </w:t>
      </w:r>
      <w:proofErr w:type="spellStart"/>
      <w:r w:rsidRPr="002F334B">
        <w:rPr>
          <w:lang w:val="en-US"/>
        </w:rPr>
        <w:t>Sen</w:t>
      </w:r>
      <w:proofErr w:type="spellEnd"/>
      <w:r w:rsidRPr="002F334B">
        <w:rPr>
          <w:lang w:val="en-US"/>
        </w:rPr>
        <w:t>, Ph.D., Daniel L. Smith, Jr., Ph.D., Diana M. Thomas, Ph.D., and David B. Allison, Ph.D.</w:t>
      </w:r>
    </w:p>
    <w:p w:rsidR="002F334B" w:rsidRPr="002F334B" w:rsidRDefault="002F334B" w:rsidP="002F334B">
      <w:pPr>
        <w:pStyle w:val="citationline"/>
        <w:rPr>
          <w:lang w:val="en-US"/>
        </w:rPr>
      </w:pPr>
      <w:r w:rsidRPr="002F334B">
        <w:rPr>
          <w:rStyle w:val="citation"/>
          <w:lang w:val="en-US"/>
        </w:rPr>
        <w:t xml:space="preserve">N </w:t>
      </w:r>
      <w:proofErr w:type="spellStart"/>
      <w:r w:rsidRPr="002F334B">
        <w:rPr>
          <w:rStyle w:val="citation"/>
          <w:lang w:val="en-US"/>
        </w:rPr>
        <w:t>Engl</w:t>
      </w:r>
      <w:proofErr w:type="spellEnd"/>
      <w:r w:rsidRPr="002F334B">
        <w:rPr>
          <w:rStyle w:val="citation"/>
          <w:lang w:val="en-US"/>
        </w:rPr>
        <w:t xml:space="preserve"> J Med 2013; 368:446-454</w:t>
      </w:r>
      <w:hyperlink r:id="rId10" w:history="1">
        <w:r w:rsidRPr="002F334B">
          <w:rPr>
            <w:rStyle w:val="Hyperlink"/>
            <w:lang w:val="en-US"/>
          </w:rPr>
          <w:t>January 31, 2013</w:t>
        </w:r>
      </w:hyperlink>
      <w:r w:rsidRPr="002F334B">
        <w:rPr>
          <w:rStyle w:val="doi"/>
          <w:lang w:val="en-US"/>
        </w:rPr>
        <w:t>DOI: 10.1056/NEJMsa1208051</w:t>
      </w:r>
    </w:p>
    <w:p w:rsidR="002F334B" w:rsidRPr="002F334B" w:rsidRDefault="002F334B" w:rsidP="002F334B">
      <w:pPr>
        <w:rPr>
          <w:lang w:val="en-US"/>
        </w:rPr>
      </w:pPr>
      <w:r w:rsidRPr="002F334B">
        <w:rPr>
          <w:rStyle w:val="label"/>
          <w:lang w:val="en-US"/>
        </w:rPr>
        <w:t>Share:</w:t>
      </w:r>
    </w:p>
    <w:p w:rsidR="002F334B" w:rsidRPr="002F334B" w:rsidRDefault="002F334B" w:rsidP="002F334B">
      <w:pPr>
        <w:pStyle w:val="Ttulo3"/>
        <w:rPr>
          <w:lang w:val="en-US"/>
        </w:rPr>
      </w:pPr>
      <w:r w:rsidRPr="002F334B">
        <w:rPr>
          <w:lang w:val="en-US"/>
        </w:rPr>
        <w:t>Background</w:t>
      </w:r>
    </w:p>
    <w:p w:rsidR="002F334B" w:rsidRPr="002F334B" w:rsidRDefault="002F334B" w:rsidP="002F334B">
      <w:pPr>
        <w:pStyle w:val="NormalWeb"/>
        <w:rPr>
          <w:lang w:val="en-US"/>
        </w:rPr>
      </w:pPr>
      <w:r w:rsidRPr="002F334B">
        <w:rPr>
          <w:lang w:val="en-US"/>
        </w:rPr>
        <w:t>Many beliefs about obesity persist in the absence of supporting scientific evidence (presumptions); some persist despite contradicting evidence (myths). The promulgation of unsupported beliefs may yield poorly informed policy decisions, inaccurate clinical and public health recommendations, and an unproductive allocation of research resources and may divert attention away from useful, evidence-based information.</w:t>
      </w:r>
    </w:p>
    <w:p w:rsidR="002F334B" w:rsidRPr="00BD7155" w:rsidRDefault="002F334B" w:rsidP="002F334B">
      <w:pPr>
        <w:pStyle w:val="Ttulo3"/>
        <w:rPr>
          <w:lang w:val="en-US"/>
        </w:rPr>
      </w:pPr>
      <w:r w:rsidRPr="00BD7155">
        <w:rPr>
          <w:lang w:val="en-US"/>
        </w:rPr>
        <w:lastRenderedPageBreak/>
        <w:t>Methods</w:t>
      </w:r>
    </w:p>
    <w:p w:rsidR="002F334B" w:rsidRPr="002F334B" w:rsidRDefault="002F334B" w:rsidP="002F334B">
      <w:pPr>
        <w:pStyle w:val="NormalWeb"/>
        <w:rPr>
          <w:lang w:val="en-US"/>
        </w:rPr>
      </w:pPr>
      <w:r w:rsidRPr="002F334B">
        <w:rPr>
          <w:lang w:val="en-US"/>
        </w:rPr>
        <w:t>Using Internet searches of popular media and scientific literature, we identified, reviewed, and classified obesity-related myths and presumptions. We also examined facts that are well supported by evidence, with an emphasis on those that have practical implications for public health, policy, or clinical recommendations.</w:t>
      </w:r>
    </w:p>
    <w:p w:rsidR="002F334B" w:rsidRPr="002F334B" w:rsidRDefault="002F334B" w:rsidP="002F334B">
      <w:pPr>
        <w:pStyle w:val="Ttulo3"/>
        <w:rPr>
          <w:lang w:val="en-US"/>
        </w:rPr>
      </w:pPr>
      <w:r w:rsidRPr="002F334B">
        <w:rPr>
          <w:lang w:val="en-US"/>
        </w:rPr>
        <w:t>Results</w:t>
      </w:r>
    </w:p>
    <w:p w:rsidR="002F334B" w:rsidRPr="002F334B" w:rsidRDefault="002F334B" w:rsidP="002F334B">
      <w:pPr>
        <w:pStyle w:val="NormalWeb"/>
        <w:rPr>
          <w:lang w:val="en-US"/>
        </w:rPr>
      </w:pPr>
      <w:r w:rsidRPr="002F334B">
        <w:rPr>
          <w:lang w:val="en-US"/>
        </w:rPr>
        <w:t>We identified seven obesity-related myths concerning the effects of small sustained increases in energy intake or expenditure, establishment of realistic goals for weight loss, rapid weight loss, weight-loss readiness, physical-education classes, breast-feeding, and energy expended during sexual activity. We also identified six presumptions about the purported effects of regularly eating breakfast, early childhood experiences, eating fruits and vegetables, weight cycling, snacking, and the built (i.e., human-made) environment. Finally, we identified nine evidence-supported facts that are relevant for the formulation of sound public health, policy, or clinical recommendations.</w:t>
      </w:r>
    </w:p>
    <w:p w:rsidR="002F334B" w:rsidRPr="002F334B" w:rsidRDefault="002F334B" w:rsidP="002F334B">
      <w:pPr>
        <w:pStyle w:val="Ttulo3"/>
        <w:rPr>
          <w:lang w:val="en-US"/>
        </w:rPr>
      </w:pPr>
      <w:r w:rsidRPr="002F334B">
        <w:rPr>
          <w:lang w:val="en-US"/>
        </w:rPr>
        <w:t>Conclusions</w:t>
      </w:r>
    </w:p>
    <w:p w:rsidR="00CB39B0" w:rsidRDefault="002F334B" w:rsidP="00CB39B0">
      <w:pPr>
        <w:pStyle w:val="NormalWeb"/>
      </w:pPr>
      <w:r w:rsidRPr="002F334B">
        <w:rPr>
          <w:lang w:val="en-US"/>
        </w:rPr>
        <w:t xml:space="preserve">False and scientifically unsupported beliefs about obesity are pervasive in both scientific literature and the popular press. </w:t>
      </w:r>
      <w:r>
        <w:t>(</w:t>
      </w:r>
      <w:proofErr w:type="spellStart"/>
      <w:r>
        <w:t>Funded</w:t>
      </w:r>
      <w:proofErr w:type="spellEnd"/>
      <w:r>
        <w:t xml:space="preserve"> </w:t>
      </w:r>
      <w:proofErr w:type="spellStart"/>
      <w:r>
        <w:t>by</w:t>
      </w:r>
      <w:proofErr w:type="spellEnd"/>
      <w:r>
        <w:t xml:space="preserve"> </w:t>
      </w:r>
      <w:proofErr w:type="spellStart"/>
      <w:r>
        <w:t>the</w:t>
      </w:r>
      <w:proofErr w:type="spellEnd"/>
      <w:r>
        <w:t xml:space="preserve"> </w:t>
      </w:r>
      <w:proofErr w:type="spellStart"/>
      <w:r>
        <w:t>National</w:t>
      </w:r>
      <w:proofErr w:type="spellEnd"/>
      <w:r>
        <w:t xml:space="preserve"> </w:t>
      </w:r>
      <w:proofErr w:type="spellStart"/>
      <w:r>
        <w:t>Institutes</w:t>
      </w:r>
      <w:proofErr w:type="spellEnd"/>
      <w:r>
        <w:t xml:space="preserve"> </w:t>
      </w:r>
      <w:proofErr w:type="spellStart"/>
      <w:r>
        <w:t>of</w:t>
      </w:r>
      <w:proofErr w:type="spellEnd"/>
      <w:r>
        <w:t xml:space="preserve"> </w:t>
      </w:r>
      <w:proofErr w:type="spellStart"/>
      <w:r>
        <w:t>Health</w:t>
      </w:r>
      <w:proofErr w:type="spellEnd"/>
      <w:r>
        <w:t>.)</w:t>
      </w:r>
    </w:p>
    <w:p w:rsidR="00CB39B0" w:rsidRDefault="00CB39B0" w:rsidP="00CB39B0">
      <w:pPr>
        <w:pStyle w:val="NormalWeb"/>
      </w:pPr>
    </w:p>
    <w:p w:rsidR="00CB39B0" w:rsidRDefault="00CB39B0" w:rsidP="00CB39B0">
      <w:pPr>
        <w:pStyle w:val="NormalWeb"/>
      </w:pPr>
    </w:p>
    <w:p w:rsidR="00CB39B0" w:rsidRDefault="00091405" w:rsidP="00CB39B0">
      <w:pPr>
        <w:pStyle w:val="Ttulo2"/>
      </w:pPr>
      <w:hyperlink r:id="rId11" w:history="1">
        <w:r w:rsidR="00CB39B0">
          <w:rPr>
            <w:rStyle w:val="Hyperlink"/>
          </w:rPr>
          <w:t>Arquivos Brasileiros de Endocrinologia &amp; Metabologia</w:t>
        </w:r>
      </w:hyperlink>
    </w:p>
    <w:p w:rsidR="00CB39B0" w:rsidRDefault="00CB39B0" w:rsidP="00CB39B0">
      <w:pPr>
        <w:pStyle w:val="Ttulo2"/>
      </w:pPr>
      <w:proofErr w:type="spellStart"/>
      <w:r>
        <w:rPr>
          <w:rStyle w:val="nfase"/>
          <w:color w:val="0000A0"/>
        </w:rPr>
        <w:t>Print</w:t>
      </w:r>
      <w:proofErr w:type="spellEnd"/>
      <w:r>
        <w:rPr>
          <w:rStyle w:val="nfase"/>
          <w:color w:val="0000A0"/>
        </w:rPr>
        <w:t> version</w:t>
      </w:r>
      <w:r>
        <w:rPr>
          <w:color w:val="0000A0"/>
        </w:rPr>
        <w:t xml:space="preserve"> ISSN </w:t>
      </w:r>
      <w:r>
        <w:t>0004-2730</w:t>
      </w:r>
    </w:p>
    <w:p w:rsidR="00CB39B0" w:rsidRDefault="00CB39B0" w:rsidP="00CB39B0">
      <w:pPr>
        <w:pStyle w:val="Ttulo3"/>
      </w:pPr>
      <w:proofErr w:type="spellStart"/>
      <w:r>
        <w:t>Arq</w:t>
      </w:r>
      <w:proofErr w:type="spellEnd"/>
      <w:r>
        <w:t xml:space="preserve"> </w:t>
      </w:r>
      <w:proofErr w:type="spellStart"/>
      <w:r>
        <w:t>Bras</w:t>
      </w:r>
      <w:proofErr w:type="spellEnd"/>
      <w:r>
        <w:t xml:space="preserve"> </w:t>
      </w:r>
      <w:proofErr w:type="spellStart"/>
      <w:r>
        <w:t>Endocrinol</w:t>
      </w:r>
      <w:proofErr w:type="spellEnd"/>
      <w:r>
        <w:t xml:space="preserve"> </w:t>
      </w:r>
      <w:proofErr w:type="spellStart"/>
      <w:r>
        <w:t>Metab</w:t>
      </w:r>
      <w:proofErr w:type="spellEnd"/>
      <w:r>
        <w:t> vol.53 </w:t>
      </w:r>
      <w:proofErr w:type="gramStart"/>
      <w:r>
        <w:t>no.</w:t>
      </w:r>
      <w:proofErr w:type="gramEnd"/>
      <w:r>
        <w:t>5 São Paulo July 2009</w:t>
      </w:r>
    </w:p>
    <w:p w:rsidR="00CB39B0" w:rsidRDefault="00CB39B0" w:rsidP="00CB39B0">
      <w:pPr>
        <w:pStyle w:val="Ttulo4"/>
      </w:pPr>
      <w:proofErr w:type="gramStart"/>
      <w:r>
        <w:t>http://dx.doi.org/10.</w:t>
      </w:r>
      <w:proofErr w:type="gramEnd"/>
      <w:r>
        <w:t xml:space="preserve">1590/S0004-27302009000500020  </w:t>
      </w:r>
    </w:p>
    <w:p w:rsidR="00CB39B0" w:rsidRDefault="00CB39B0" w:rsidP="00CB39B0">
      <w:pPr>
        <w:pStyle w:val="NormalWeb"/>
        <w:jc w:val="right"/>
      </w:pPr>
      <w:r>
        <w:rPr>
          <w:rFonts w:ascii="Verdana" w:hAnsi="Verdana"/>
          <w:b/>
          <w:bCs/>
          <w:sz w:val="20"/>
          <w:szCs w:val="20"/>
        </w:rPr>
        <w:t>REVISÃO</w:t>
      </w:r>
    </w:p>
    <w:p w:rsidR="00CB39B0" w:rsidRDefault="00CB39B0" w:rsidP="00CB39B0">
      <w:pPr>
        <w:pStyle w:val="NormalWeb"/>
      </w:pPr>
      <w:r>
        <w:t> </w:t>
      </w:r>
    </w:p>
    <w:p w:rsidR="00CB39B0" w:rsidRDefault="00CB39B0" w:rsidP="00CB39B0">
      <w:pPr>
        <w:pStyle w:val="NormalWeb"/>
      </w:pPr>
      <w:bookmarkStart w:id="0" w:name="top"/>
      <w:bookmarkEnd w:id="0"/>
      <w:r>
        <w:rPr>
          <w:rFonts w:ascii="Verdana" w:hAnsi="Verdana"/>
          <w:b/>
          <w:bCs/>
          <w:sz w:val="27"/>
          <w:szCs w:val="27"/>
        </w:rPr>
        <w:t xml:space="preserve">Revisão sistemática de dietas de emagrecimento: papel dos componentes dietéticos </w:t>
      </w:r>
    </w:p>
    <w:p w:rsidR="00CB39B0" w:rsidRDefault="00CB39B0" w:rsidP="00CB39B0">
      <w:pPr>
        <w:pStyle w:val="NormalWeb"/>
      </w:pPr>
      <w:r>
        <w:t> </w:t>
      </w:r>
    </w:p>
    <w:p w:rsidR="00CB39B0" w:rsidRPr="00CB39B0" w:rsidRDefault="00CB39B0" w:rsidP="00CB39B0">
      <w:pPr>
        <w:pStyle w:val="NormalWeb"/>
        <w:rPr>
          <w:lang w:val="en-US"/>
        </w:rPr>
      </w:pPr>
      <w:r w:rsidRPr="00CB39B0">
        <w:rPr>
          <w:rFonts w:ascii="Verdana" w:hAnsi="Verdana"/>
          <w:b/>
          <w:bCs/>
          <w:lang w:val="en-US"/>
        </w:rPr>
        <w:t>Systematic review of weight loss diets: role of dietary components</w:t>
      </w:r>
    </w:p>
    <w:p w:rsidR="00CB39B0" w:rsidRPr="00CB39B0" w:rsidRDefault="00CB39B0" w:rsidP="00CB39B0">
      <w:pPr>
        <w:pStyle w:val="NormalWeb"/>
        <w:rPr>
          <w:lang w:val="en-US"/>
        </w:rPr>
      </w:pPr>
      <w:r w:rsidRPr="00CB39B0">
        <w:rPr>
          <w:lang w:val="en-US"/>
        </w:rPr>
        <w:t> </w:t>
      </w:r>
    </w:p>
    <w:p w:rsidR="00CB39B0" w:rsidRPr="00CB39B0" w:rsidRDefault="00CB39B0" w:rsidP="00CB39B0">
      <w:pPr>
        <w:pStyle w:val="NormalWeb"/>
        <w:rPr>
          <w:lang w:val="en-US"/>
        </w:rPr>
      </w:pPr>
      <w:r w:rsidRPr="00CB39B0">
        <w:rPr>
          <w:lang w:val="en-US"/>
        </w:rPr>
        <w:t> </w:t>
      </w:r>
    </w:p>
    <w:p w:rsidR="00CB39B0" w:rsidRDefault="00CB39B0" w:rsidP="00CB39B0">
      <w:pPr>
        <w:pStyle w:val="NormalWeb"/>
      </w:pPr>
      <w:r>
        <w:rPr>
          <w:rFonts w:ascii="Verdana" w:hAnsi="Verdana"/>
          <w:b/>
          <w:bCs/>
          <w:sz w:val="20"/>
          <w:szCs w:val="20"/>
        </w:rPr>
        <w:t xml:space="preserve">Jussara C. de </w:t>
      </w:r>
      <w:proofErr w:type="spellStart"/>
      <w:proofErr w:type="gramStart"/>
      <w:r>
        <w:rPr>
          <w:rFonts w:ascii="Verdana" w:hAnsi="Verdana"/>
          <w:b/>
          <w:bCs/>
          <w:sz w:val="20"/>
          <w:szCs w:val="20"/>
        </w:rPr>
        <w:t>Almeida</w:t>
      </w:r>
      <w:r>
        <w:rPr>
          <w:rFonts w:ascii="Verdana" w:hAnsi="Verdana"/>
          <w:b/>
          <w:bCs/>
          <w:sz w:val="20"/>
          <w:szCs w:val="20"/>
          <w:vertAlign w:val="superscript"/>
        </w:rPr>
        <w:t>I</w:t>
      </w:r>
      <w:proofErr w:type="spellEnd"/>
      <w:proofErr w:type="gramEnd"/>
      <w:r>
        <w:rPr>
          <w:rFonts w:ascii="Verdana" w:hAnsi="Verdana"/>
          <w:b/>
          <w:bCs/>
          <w:sz w:val="20"/>
          <w:szCs w:val="20"/>
          <w:vertAlign w:val="superscript"/>
        </w:rPr>
        <w:t>, II</w:t>
      </w:r>
      <w:r>
        <w:rPr>
          <w:rFonts w:ascii="Verdana" w:hAnsi="Verdana"/>
          <w:b/>
          <w:bCs/>
          <w:sz w:val="20"/>
          <w:szCs w:val="20"/>
        </w:rPr>
        <w:t xml:space="preserve">; </w:t>
      </w:r>
      <w:proofErr w:type="spellStart"/>
      <w:r>
        <w:rPr>
          <w:rFonts w:ascii="Verdana" w:hAnsi="Verdana"/>
          <w:b/>
          <w:bCs/>
          <w:sz w:val="20"/>
          <w:szCs w:val="20"/>
        </w:rPr>
        <w:t>Ticiana</w:t>
      </w:r>
      <w:proofErr w:type="spellEnd"/>
      <w:r>
        <w:rPr>
          <w:rFonts w:ascii="Verdana" w:hAnsi="Verdana"/>
          <w:b/>
          <w:bCs/>
          <w:sz w:val="20"/>
          <w:szCs w:val="20"/>
        </w:rPr>
        <w:t xml:space="preserve"> C. </w:t>
      </w:r>
      <w:proofErr w:type="spellStart"/>
      <w:r>
        <w:rPr>
          <w:rFonts w:ascii="Verdana" w:hAnsi="Verdana"/>
          <w:b/>
          <w:bCs/>
          <w:sz w:val="20"/>
          <w:szCs w:val="20"/>
        </w:rPr>
        <w:t>Rodrigues</w:t>
      </w:r>
      <w:r>
        <w:rPr>
          <w:rFonts w:ascii="Verdana" w:hAnsi="Verdana"/>
          <w:b/>
          <w:bCs/>
          <w:sz w:val="20"/>
          <w:szCs w:val="20"/>
          <w:vertAlign w:val="superscript"/>
        </w:rPr>
        <w:t>I</w:t>
      </w:r>
      <w:proofErr w:type="spellEnd"/>
      <w:r>
        <w:rPr>
          <w:rFonts w:ascii="Verdana" w:hAnsi="Verdana"/>
          <w:b/>
          <w:bCs/>
          <w:sz w:val="20"/>
          <w:szCs w:val="20"/>
        </w:rPr>
        <w:t xml:space="preserve">; Flávia Moraes </w:t>
      </w:r>
      <w:proofErr w:type="spellStart"/>
      <w:r>
        <w:rPr>
          <w:rFonts w:ascii="Verdana" w:hAnsi="Verdana"/>
          <w:b/>
          <w:bCs/>
          <w:sz w:val="20"/>
          <w:szCs w:val="20"/>
        </w:rPr>
        <w:t>Silva</w:t>
      </w:r>
      <w:r>
        <w:rPr>
          <w:rFonts w:ascii="Verdana" w:hAnsi="Verdana"/>
          <w:b/>
          <w:bCs/>
          <w:sz w:val="20"/>
          <w:szCs w:val="20"/>
          <w:vertAlign w:val="superscript"/>
        </w:rPr>
        <w:t>I</w:t>
      </w:r>
      <w:proofErr w:type="spellEnd"/>
      <w:r>
        <w:rPr>
          <w:rFonts w:ascii="Verdana" w:hAnsi="Verdana"/>
          <w:b/>
          <w:bCs/>
          <w:sz w:val="20"/>
          <w:szCs w:val="20"/>
        </w:rPr>
        <w:t xml:space="preserve">; </w:t>
      </w:r>
      <w:proofErr w:type="spellStart"/>
      <w:r>
        <w:rPr>
          <w:rFonts w:ascii="Verdana" w:hAnsi="Verdana"/>
          <w:b/>
          <w:bCs/>
          <w:sz w:val="20"/>
          <w:szCs w:val="20"/>
        </w:rPr>
        <w:t>Mirela</w:t>
      </w:r>
      <w:proofErr w:type="spellEnd"/>
      <w:r>
        <w:rPr>
          <w:rFonts w:ascii="Verdana" w:hAnsi="Verdana"/>
          <w:b/>
          <w:bCs/>
          <w:sz w:val="20"/>
          <w:szCs w:val="20"/>
        </w:rPr>
        <w:t xml:space="preserve"> J. </w:t>
      </w:r>
      <w:proofErr w:type="gramStart"/>
      <w:r>
        <w:rPr>
          <w:rFonts w:ascii="Verdana" w:hAnsi="Verdana"/>
          <w:b/>
          <w:bCs/>
          <w:sz w:val="20"/>
          <w:szCs w:val="20"/>
        </w:rPr>
        <w:t>de</w:t>
      </w:r>
      <w:proofErr w:type="gramEnd"/>
      <w:r>
        <w:rPr>
          <w:rFonts w:ascii="Verdana" w:hAnsi="Verdana"/>
          <w:b/>
          <w:bCs/>
          <w:sz w:val="20"/>
          <w:szCs w:val="20"/>
        </w:rPr>
        <w:t xml:space="preserve"> </w:t>
      </w:r>
      <w:proofErr w:type="spellStart"/>
      <w:r>
        <w:rPr>
          <w:rFonts w:ascii="Verdana" w:hAnsi="Verdana"/>
          <w:b/>
          <w:bCs/>
          <w:sz w:val="20"/>
          <w:szCs w:val="20"/>
        </w:rPr>
        <w:t>Azevedo</w:t>
      </w:r>
      <w:r>
        <w:rPr>
          <w:rFonts w:ascii="Verdana" w:hAnsi="Verdana"/>
          <w:b/>
          <w:bCs/>
          <w:sz w:val="20"/>
          <w:szCs w:val="20"/>
          <w:vertAlign w:val="superscript"/>
        </w:rPr>
        <w:t>I</w:t>
      </w:r>
      <w:proofErr w:type="spellEnd"/>
    </w:p>
    <w:p w:rsidR="00CB39B0" w:rsidRDefault="00CB39B0" w:rsidP="00CB39B0">
      <w:pPr>
        <w:pStyle w:val="NormalWeb"/>
      </w:pPr>
      <w:proofErr w:type="spellStart"/>
      <w:proofErr w:type="gramStart"/>
      <w:r>
        <w:rPr>
          <w:rFonts w:ascii="Verdana" w:hAnsi="Verdana"/>
          <w:sz w:val="20"/>
          <w:szCs w:val="20"/>
          <w:vertAlign w:val="superscript"/>
        </w:rPr>
        <w:t>I</w:t>
      </w:r>
      <w:r>
        <w:rPr>
          <w:rFonts w:ascii="Verdana" w:hAnsi="Verdana"/>
          <w:sz w:val="20"/>
          <w:szCs w:val="20"/>
        </w:rPr>
        <w:t>Serviço</w:t>
      </w:r>
      <w:proofErr w:type="spellEnd"/>
      <w:proofErr w:type="gramEnd"/>
      <w:r>
        <w:rPr>
          <w:rFonts w:ascii="Verdana" w:hAnsi="Verdana"/>
          <w:sz w:val="20"/>
          <w:szCs w:val="20"/>
        </w:rPr>
        <w:t xml:space="preserve"> de Endocrinologia do Hospital de Clínicas de Porto Alegre, Universidade Federal do Rio Grande do Sul (UFRGS), Porto Alegre, RS, Brasil </w:t>
      </w:r>
      <w:r>
        <w:rPr>
          <w:rFonts w:ascii="Verdana" w:hAnsi="Verdana"/>
          <w:sz w:val="20"/>
          <w:szCs w:val="20"/>
        </w:rPr>
        <w:br/>
      </w:r>
      <w:proofErr w:type="spellStart"/>
      <w:r>
        <w:rPr>
          <w:rFonts w:ascii="Verdana" w:hAnsi="Verdana"/>
          <w:sz w:val="20"/>
          <w:szCs w:val="20"/>
          <w:vertAlign w:val="superscript"/>
        </w:rPr>
        <w:t>II</w:t>
      </w:r>
      <w:r>
        <w:rPr>
          <w:rFonts w:ascii="Verdana" w:hAnsi="Verdana"/>
          <w:sz w:val="20"/>
          <w:szCs w:val="20"/>
        </w:rPr>
        <w:t>Curso</w:t>
      </w:r>
      <w:proofErr w:type="spellEnd"/>
      <w:r>
        <w:rPr>
          <w:rFonts w:ascii="Verdana" w:hAnsi="Verdana"/>
          <w:sz w:val="20"/>
          <w:szCs w:val="20"/>
        </w:rPr>
        <w:t xml:space="preserve"> de Nutrição, Departamento de Medicina Social, Faculdade de Medicina, UFRGS, Porto Alegre, RS, Brasil</w:t>
      </w:r>
    </w:p>
    <w:p w:rsidR="00CB39B0" w:rsidRDefault="00091405" w:rsidP="00CB39B0">
      <w:pPr>
        <w:pStyle w:val="NormalWeb"/>
      </w:pPr>
      <w:hyperlink r:id="rId12" w:anchor="back" w:history="1">
        <w:r w:rsidR="00CB39B0">
          <w:rPr>
            <w:rStyle w:val="Hyperlink"/>
            <w:rFonts w:ascii="Verdana" w:hAnsi="Verdana"/>
            <w:sz w:val="20"/>
            <w:szCs w:val="20"/>
          </w:rPr>
          <w:t>Correspondência para</w:t>
        </w:r>
      </w:hyperlink>
    </w:p>
    <w:p w:rsidR="00CB39B0" w:rsidRDefault="00CB39B0" w:rsidP="00CB39B0">
      <w:pPr>
        <w:pStyle w:val="NormalWeb"/>
      </w:pPr>
      <w:r>
        <w:t> </w:t>
      </w:r>
    </w:p>
    <w:p w:rsidR="00CB39B0" w:rsidRDefault="00CB39B0" w:rsidP="00CB39B0">
      <w:pPr>
        <w:pStyle w:val="NormalWeb"/>
      </w:pPr>
      <w:r>
        <w:t> </w:t>
      </w:r>
    </w:p>
    <w:p w:rsidR="00CB39B0" w:rsidRDefault="00091405" w:rsidP="00CB39B0">
      <w:r>
        <w:pict>
          <v:rect id="_x0000_i1025" style="width:0;height:.75pt" o:hralign="center" o:hrstd="t" o:hrnoshade="t" o:hr="t" fillcolor="#a0a0a0" stroked="f"/>
        </w:pict>
      </w:r>
    </w:p>
    <w:p w:rsidR="00CB39B0" w:rsidRDefault="00CB39B0" w:rsidP="00CB39B0">
      <w:pPr>
        <w:pStyle w:val="NormalWeb"/>
      </w:pPr>
      <w:r>
        <w:rPr>
          <w:rFonts w:ascii="Verdana" w:hAnsi="Verdana"/>
          <w:b/>
          <w:bCs/>
          <w:sz w:val="20"/>
          <w:szCs w:val="20"/>
        </w:rPr>
        <w:t>RESUMO</w:t>
      </w:r>
    </w:p>
    <w:p w:rsidR="00CB39B0" w:rsidRDefault="00CB39B0" w:rsidP="00CB39B0">
      <w:pPr>
        <w:pStyle w:val="NormalWeb"/>
      </w:pPr>
      <w:r>
        <w:rPr>
          <w:rFonts w:ascii="Verdana" w:hAnsi="Verdana"/>
          <w:sz w:val="20"/>
          <w:szCs w:val="20"/>
        </w:rPr>
        <w:t>O excesso de peso corporal é o sexto mais importante fator de risco para doenças crônicas não transmissíveis. Inúmeras publicações foram produzidas nos últimos anos para avaliar a melhor alternativa para perda de peso. O objetivo desta revisão sistemática foi analisar criticamente o papel dos componentes dietéticos (</w:t>
      </w:r>
      <w:proofErr w:type="spellStart"/>
      <w:r>
        <w:rPr>
          <w:rFonts w:ascii="Verdana" w:hAnsi="Verdana"/>
          <w:sz w:val="20"/>
          <w:szCs w:val="20"/>
        </w:rPr>
        <w:t>macronutrientes</w:t>
      </w:r>
      <w:proofErr w:type="spellEnd"/>
      <w:r>
        <w:rPr>
          <w:rFonts w:ascii="Verdana" w:hAnsi="Verdana"/>
          <w:sz w:val="20"/>
          <w:szCs w:val="20"/>
        </w:rPr>
        <w:t xml:space="preserve"> e/ou alimentos) nas dietas de emagrecimento para indivíduos adultos descritas recentemente na literatura. Foram selecionados ensaios clínicos </w:t>
      </w:r>
      <w:proofErr w:type="spellStart"/>
      <w:r>
        <w:rPr>
          <w:rFonts w:ascii="Verdana" w:hAnsi="Verdana"/>
          <w:sz w:val="20"/>
          <w:szCs w:val="20"/>
        </w:rPr>
        <w:t>randomizados</w:t>
      </w:r>
      <w:proofErr w:type="spellEnd"/>
      <w:r>
        <w:rPr>
          <w:rFonts w:ascii="Verdana" w:hAnsi="Verdana"/>
          <w:sz w:val="20"/>
          <w:szCs w:val="20"/>
        </w:rPr>
        <w:t xml:space="preserve"> com pelo menos um ano de acompanhamento publicados no </w:t>
      </w:r>
      <w:proofErr w:type="spellStart"/>
      <w:proofErr w:type="gramStart"/>
      <w:r>
        <w:rPr>
          <w:rFonts w:ascii="Verdana" w:hAnsi="Verdana"/>
          <w:sz w:val="20"/>
          <w:szCs w:val="20"/>
        </w:rPr>
        <w:t>MedLine</w:t>
      </w:r>
      <w:proofErr w:type="spellEnd"/>
      <w:proofErr w:type="gramEnd"/>
      <w:r>
        <w:rPr>
          <w:rFonts w:ascii="Verdana" w:hAnsi="Verdana"/>
          <w:sz w:val="20"/>
          <w:szCs w:val="20"/>
        </w:rPr>
        <w:t xml:space="preserve"> (língua portuguesa, inglesa e espanhola) de 2004 a 2009. Dos 23 estudos com diferentes tipos de dietas, 13 apresentaram taxa de abandono </w:t>
      </w:r>
      <w:r>
        <w:rPr>
          <w:rFonts w:ascii="Verdana" w:hAnsi="Verdana"/>
          <w:sz w:val="20"/>
          <w:szCs w:val="20"/>
          <w:u w:val="single"/>
        </w:rPr>
        <w:t>&gt;</w:t>
      </w:r>
      <w:r>
        <w:rPr>
          <w:rFonts w:ascii="Verdana" w:hAnsi="Verdana"/>
          <w:sz w:val="20"/>
          <w:szCs w:val="20"/>
        </w:rPr>
        <w:t xml:space="preserve"> 25% em pelo menos uma das dietas. Em conclusão, nos estudos em que a perda ponderal foi &gt; 5% do peso inicial, essa perda foi associada à restrição de energia proveniente da dieta. Além disso, o seguimento de dieta com restrição de carboidratos ou mediterrânea poderia representar uma alternativa à restrição energética, devendo esses dados ainda ser confirmados.</w:t>
      </w:r>
    </w:p>
    <w:p w:rsidR="00CB39B0" w:rsidRDefault="00CB39B0" w:rsidP="00CB39B0">
      <w:pPr>
        <w:pStyle w:val="NormalWeb"/>
      </w:pPr>
      <w:r>
        <w:rPr>
          <w:rFonts w:ascii="Verdana" w:hAnsi="Verdana"/>
          <w:b/>
          <w:bCs/>
          <w:sz w:val="20"/>
          <w:szCs w:val="20"/>
        </w:rPr>
        <w:t xml:space="preserve">Descritores: </w:t>
      </w:r>
      <w:r>
        <w:rPr>
          <w:rFonts w:ascii="Verdana" w:hAnsi="Verdana"/>
          <w:sz w:val="20"/>
          <w:szCs w:val="20"/>
        </w:rPr>
        <w:t>Perda de peso; dieta; obesidade; peso corporal; revisão sistemática</w:t>
      </w:r>
    </w:p>
    <w:p w:rsidR="00CB39B0" w:rsidRDefault="00091405" w:rsidP="00CB39B0">
      <w:r>
        <w:pict>
          <v:rect id="_x0000_i1026" style="width:0;height:.75pt" o:hralign="center" o:hrstd="t" o:hrnoshade="t" o:hr="t" fillcolor="#a0a0a0" stroked="f"/>
        </w:pict>
      </w:r>
    </w:p>
    <w:p w:rsidR="00CB39B0" w:rsidRPr="00CB39B0" w:rsidRDefault="00CB39B0" w:rsidP="00CB39B0">
      <w:pPr>
        <w:pStyle w:val="NormalWeb"/>
        <w:rPr>
          <w:lang w:val="en-US"/>
        </w:rPr>
      </w:pPr>
      <w:r w:rsidRPr="00CB39B0">
        <w:rPr>
          <w:rFonts w:ascii="Verdana" w:hAnsi="Verdana"/>
          <w:b/>
          <w:bCs/>
          <w:sz w:val="20"/>
          <w:szCs w:val="20"/>
          <w:lang w:val="en-US"/>
        </w:rPr>
        <w:t>ABSTRACT</w:t>
      </w:r>
    </w:p>
    <w:p w:rsidR="00CB39B0" w:rsidRPr="00CB39B0" w:rsidRDefault="00CB39B0" w:rsidP="00CB39B0">
      <w:pPr>
        <w:pStyle w:val="NormalWeb"/>
        <w:rPr>
          <w:lang w:val="en-US"/>
        </w:rPr>
      </w:pPr>
      <w:r w:rsidRPr="00CB39B0">
        <w:rPr>
          <w:rFonts w:ascii="Verdana" w:hAnsi="Verdana"/>
          <w:sz w:val="20"/>
          <w:szCs w:val="20"/>
          <w:lang w:val="en-US"/>
        </w:rPr>
        <w:t xml:space="preserve">Being overweight is the sixth most important risk factor for chronic non-transmissible diseases. Many publications have been produced in recent years to evaluate the best weight loss alternative. The aim of this systematic review was to critically assess the role of dietary components (macronutrients and/or foods) in weight loss diets in adults recently described in the literature. Randomized clinical trials, with at least one year of follow-up, were selected in </w:t>
      </w:r>
      <w:proofErr w:type="spellStart"/>
      <w:r w:rsidRPr="00CB39B0">
        <w:rPr>
          <w:rFonts w:ascii="Verdana" w:hAnsi="Verdana"/>
          <w:sz w:val="20"/>
          <w:szCs w:val="20"/>
          <w:lang w:val="en-US"/>
        </w:rPr>
        <w:t>MedLine</w:t>
      </w:r>
      <w:proofErr w:type="spellEnd"/>
      <w:r w:rsidRPr="00CB39B0">
        <w:rPr>
          <w:rFonts w:ascii="Verdana" w:hAnsi="Verdana"/>
          <w:sz w:val="20"/>
          <w:szCs w:val="20"/>
          <w:lang w:val="en-US"/>
        </w:rPr>
        <w:t xml:space="preserve"> (in Portuguese, English and Spanish languages) from 2004 to 2009. Among the 23 studies included with different types of diets, 13 presented a rate of withdrawal from the study </w:t>
      </w:r>
      <w:r w:rsidRPr="00CB39B0">
        <w:rPr>
          <w:rFonts w:ascii="Verdana" w:hAnsi="Verdana"/>
          <w:sz w:val="20"/>
          <w:szCs w:val="20"/>
          <w:u w:val="single"/>
          <w:lang w:val="en-US"/>
        </w:rPr>
        <w:t>&gt;</w:t>
      </w:r>
      <w:r w:rsidRPr="00CB39B0">
        <w:rPr>
          <w:rFonts w:ascii="Verdana" w:hAnsi="Verdana"/>
          <w:sz w:val="20"/>
          <w:szCs w:val="20"/>
          <w:lang w:val="en-US"/>
        </w:rPr>
        <w:t xml:space="preserve"> 25% in at least one of the diets. In conclusion, most diets where the weight loss was &gt; 5% of initial weight were energy restricted. Furthermore, following low carbohydrate or Mediterranean diets can be an alternative to isolated energy restriction, but these data are yet to be confirmed.</w:t>
      </w:r>
    </w:p>
    <w:p w:rsidR="00CB39B0" w:rsidRPr="00CB39B0" w:rsidRDefault="00CB39B0" w:rsidP="00CB39B0">
      <w:pPr>
        <w:pStyle w:val="NormalWeb"/>
        <w:rPr>
          <w:lang w:val="en-US"/>
        </w:rPr>
      </w:pPr>
      <w:r w:rsidRPr="00CB39B0">
        <w:rPr>
          <w:rFonts w:ascii="Verdana" w:hAnsi="Verdana"/>
          <w:b/>
          <w:bCs/>
          <w:sz w:val="20"/>
          <w:szCs w:val="20"/>
          <w:lang w:val="en-US"/>
        </w:rPr>
        <w:t xml:space="preserve">Keywords: </w:t>
      </w:r>
      <w:r w:rsidRPr="00CB39B0">
        <w:rPr>
          <w:rFonts w:ascii="Verdana" w:hAnsi="Verdana"/>
          <w:sz w:val="20"/>
          <w:szCs w:val="20"/>
          <w:lang w:val="en-US"/>
        </w:rPr>
        <w:t>Weight loss; diet; obesity; body weight; systematic review</w:t>
      </w:r>
    </w:p>
    <w:p w:rsidR="00CB39B0" w:rsidRDefault="00091405" w:rsidP="00CB39B0">
      <w:r>
        <w:pict>
          <v:rect id="_x0000_i1027" style="width:0;height:.75pt" o:hralign="center" o:hrstd="t" o:hrnoshade="t" o:hr="t" fillcolor="#a0a0a0" stroked="f"/>
        </w:pict>
      </w:r>
    </w:p>
    <w:p w:rsidR="00CB39B0" w:rsidRDefault="00CB39B0" w:rsidP="00CB39B0">
      <w:pPr>
        <w:pStyle w:val="NormalWeb"/>
      </w:pPr>
      <w:r>
        <w:t> </w:t>
      </w:r>
    </w:p>
    <w:p w:rsidR="00CB39B0" w:rsidRDefault="00CB39B0" w:rsidP="00CB39B0">
      <w:pPr>
        <w:pStyle w:val="NormalWeb"/>
      </w:pPr>
      <w:r>
        <w:t> </w:t>
      </w:r>
    </w:p>
    <w:p w:rsidR="00CB39B0" w:rsidRDefault="00CB39B0" w:rsidP="00CB39B0">
      <w:pPr>
        <w:pStyle w:val="NormalWeb"/>
      </w:pPr>
      <w:r>
        <w:rPr>
          <w:rFonts w:ascii="Verdana" w:hAnsi="Verdana"/>
          <w:b/>
          <w:bCs/>
        </w:rPr>
        <w:t>INTRODUÇÃO</w:t>
      </w:r>
    </w:p>
    <w:p w:rsidR="00CB39B0" w:rsidRDefault="00CB39B0" w:rsidP="00CB39B0">
      <w:pPr>
        <w:pStyle w:val="NormalWeb"/>
      </w:pPr>
      <w:r>
        <w:rPr>
          <w:rFonts w:ascii="Verdana" w:hAnsi="Verdana"/>
          <w:sz w:val="20"/>
          <w:szCs w:val="20"/>
        </w:rPr>
        <w:t xml:space="preserve">O excesso de peso corporal é o sexto fator de risco mais importante para doenças crônicas não transmissíveis em todo o mundo (1). A obesidade é definida como o acúmulo de gordura corporal, resultando em excesso de peso. A maneira mais </w:t>
      </w:r>
      <w:proofErr w:type="spellStart"/>
      <w:r>
        <w:rPr>
          <w:rFonts w:ascii="Verdana" w:hAnsi="Verdana"/>
          <w:sz w:val="20"/>
          <w:szCs w:val="20"/>
        </w:rPr>
        <w:t>frequentemente</w:t>
      </w:r>
      <w:proofErr w:type="spellEnd"/>
      <w:r>
        <w:rPr>
          <w:rFonts w:ascii="Verdana" w:hAnsi="Verdana"/>
          <w:sz w:val="20"/>
          <w:szCs w:val="20"/>
        </w:rPr>
        <w:t xml:space="preserve"> utilizada para quantificar a obesidade é por meio do índice de massa corporal (IMC). Indivíduos com IMC acima de 25 kg/m² são classificados como portadores de sobrepeso e com IMC maior ou igual a 30 kg/m² são considerados obesos (2).</w:t>
      </w:r>
    </w:p>
    <w:p w:rsidR="00CB39B0" w:rsidRDefault="00CB39B0" w:rsidP="00CB39B0">
      <w:pPr>
        <w:pStyle w:val="NormalWeb"/>
      </w:pPr>
      <w:r>
        <w:rPr>
          <w:rFonts w:ascii="Verdana" w:hAnsi="Verdana"/>
          <w:sz w:val="20"/>
          <w:szCs w:val="20"/>
        </w:rPr>
        <w:t xml:space="preserve">Cerca de </w:t>
      </w:r>
      <w:proofErr w:type="gramStart"/>
      <w:r>
        <w:rPr>
          <w:rFonts w:ascii="Verdana" w:hAnsi="Verdana"/>
          <w:sz w:val="20"/>
          <w:szCs w:val="20"/>
        </w:rPr>
        <w:t>1,1 bilhão</w:t>
      </w:r>
      <w:proofErr w:type="gramEnd"/>
      <w:r>
        <w:rPr>
          <w:rFonts w:ascii="Verdana" w:hAnsi="Verdana"/>
          <w:sz w:val="20"/>
          <w:szCs w:val="20"/>
        </w:rPr>
        <w:t xml:space="preserve"> de adultos e 10% das crianças têm, atualmente, sobrepeso ou obesidade (1). No Brasil, a prevalência de sobrepeso observada em pesquisa realizada pelo Instituto Brasileiro de </w:t>
      </w:r>
      <w:r>
        <w:rPr>
          <w:rFonts w:ascii="Verdana" w:hAnsi="Verdana"/>
          <w:sz w:val="20"/>
          <w:szCs w:val="20"/>
        </w:rPr>
        <w:lastRenderedPageBreak/>
        <w:t xml:space="preserve">Geografia e Estatística (2002-2003) foi de 41% para os homens e 39,2% para as mulheres (3). Mais recentemente, dados nacionais apresentaram uma prevalência de 43% de sobrepeso e 16% de obesidade em mulheres de 15 a 49 anos de idade (4). Essa prevalência pode ser diferente de acordo com a região do país. Em estudo transversal de base populacional realizado na região sul do Brasil, 23,5% dos 2.002 adultos avaliados </w:t>
      </w:r>
      <w:proofErr w:type="gramStart"/>
      <w:r>
        <w:rPr>
          <w:rFonts w:ascii="Verdana" w:hAnsi="Verdana"/>
          <w:sz w:val="20"/>
          <w:szCs w:val="20"/>
        </w:rPr>
        <w:t>foram</w:t>
      </w:r>
      <w:proofErr w:type="gramEnd"/>
      <w:r>
        <w:rPr>
          <w:rFonts w:ascii="Verdana" w:hAnsi="Verdana"/>
          <w:sz w:val="20"/>
          <w:szCs w:val="20"/>
        </w:rPr>
        <w:t xml:space="preserve"> classificados como obesos (5). Dessa forma, o excesso de peso é um problema atual de saúde pública nas diversas populações, e a perda de peso tem sido uma preocupação comum na população em diferentes faixas etárias. Nesse cenário, é atraente a </w:t>
      </w:r>
      <w:proofErr w:type="spellStart"/>
      <w:r>
        <w:rPr>
          <w:rFonts w:ascii="Verdana" w:hAnsi="Verdana"/>
          <w:sz w:val="20"/>
          <w:szCs w:val="20"/>
        </w:rPr>
        <w:t>ideia</w:t>
      </w:r>
      <w:proofErr w:type="spellEnd"/>
      <w:r>
        <w:rPr>
          <w:rFonts w:ascii="Verdana" w:hAnsi="Verdana"/>
          <w:sz w:val="20"/>
          <w:szCs w:val="20"/>
        </w:rPr>
        <w:t xml:space="preserve"> de perda ponderal rápida sem a adoção da estratégia de redução da ingestão de energia proveniente da dieta e aumento do gasto energético a partir de prática regular de atividade física (6). Neste sentido, foi crescente o surgimento de dietas populares para combater a obesidade ao longo das últimas três décadas (7).</w:t>
      </w:r>
    </w:p>
    <w:p w:rsidR="00CB39B0" w:rsidRDefault="00CB39B0" w:rsidP="00CB39B0">
      <w:pPr>
        <w:pStyle w:val="NormalWeb"/>
      </w:pPr>
      <w:r>
        <w:rPr>
          <w:rFonts w:ascii="Verdana" w:hAnsi="Verdana"/>
          <w:sz w:val="20"/>
          <w:szCs w:val="20"/>
        </w:rPr>
        <w:t xml:space="preserve">As dietas para emagrecimento podem ser agrupadas didaticamente de acordo com a proporção dos </w:t>
      </w:r>
      <w:proofErr w:type="spellStart"/>
      <w:r>
        <w:rPr>
          <w:rFonts w:ascii="Verdana" w:hAnsi="Verdana"/>
          <w:sz w:val="20"/>
          <w:szCs w:val="20"/>
        </w:rPr>
        <w:t>macronutrientes</w:t>
      </w:r>
      <w:proofErr w:type="spellEnd"/>
      <w:r>
        <w:rPr>
          <w:rFonts w:ascii="Verdana" w:hAnsi="Verdana"/>
          <w:sz w:val="20"/>
          <w:szCs w:val="20"/>
        </w:rPr>
        <w:t xml:space="preserve"> proposta (8). A </w:t>
      </w:r>
      <w:hyperlink r:id="rId13" w:history="1">
        <w:r>
          <w:rPr>
            <w:rStyle w:val="Hyperlink"/>
            <w:rFonts w:ascii="Verdana" w:hAnsi="Verdana"/>
            <w:sz w:val="20"/>
            <w:szCs w:val="20"/>
          </w:rPr>
          <w:t>tabela 1</w:t>
        </w:r>
      </w:hyperlink>
      <w:r>
        <w:rPr>
          <w:rFonts w:ascii="Verdana" w:hAnsi="Verdana"/>
          <w:sz w:val="20"/>
          <w:szCs w:val="20"/>
        </w:rPr>
        <w:t xml:space="preserve"> descreve os principais grupos de dietas de acordo com sua composição nutricional e os nomes dos planos alimentares como são conhecidos popularmente. Embora muitas das dietas para emagrecimento sejam eficazes na redução ponderal em curto prazo, a avaliação qualitativa dessas dietas muitas vezes não é conhecida. De fato, a análise mais detalhada da composição nutricional dos planos alimentares propostos de dietas populares mostrou que nenhum deles alcança um adequado índice de alimentação saudável (7), conforme demonstrado na </w:t>
      </w:r>
      <w:hyperlink r:id="rId14" w:history="1">
        <w:r>
          <w:rPr>
            <w:rStyle w:val="Hyperlink"/>
            <w:rFonts w:ascii="Verdana" w:hAnsi="Verdana"/>
            <w:sz w:val="20"/>
            <w:szCs w:val="20"/>
          </w:rPr>
          <w:t>tabela 2</w:t>
        </w:r>
      </w:hyperlink>
      <w:r>
        <w:rPr>
          <w:rFonts w:ascii="Verdana" w:hAnsi="Verdana"/>
          <w:sz w:val="20"/>
          <w:szCs w:val="20"/>
        </w:rPr>
        <w:t>.</w:t>
      </w:r>
    </w:p>
    <w:p w:rsidR="00CB39B0" w:rsidRDefault="00CB39B0" w:rsidP="00CB39B0">
      <w:pPr>
        <w:pStyle w:val="NormalWeb"/>
      </w:pPr>
      <w:r>
        <w:rPr>
          <w:rFonts w:ascii="Verdana" w:hAnsi="Verdana"/>
          <w:sz w:val="20"/>
          <w:szCs w:val="20"/>
        </w:rPr>
        <w:t>O índice de alimentação saudável constitui uma medida da qualidade da dieta por meio de um sistema de avaliação de 12 componentes (nove grupos alimentares e conteúdo total de gordura saturada, sódio e energia provenientes de gordura sólida, bebidas alcoólicas e açúcares) de acordo com as recomendações dietoterápicas americanas. Esse índice tem sido considerado um instrumento com amplo potencial de uso na epidemiologia nutricional, útil para a descrição e o monitoramento do padrão alimentar da população e para a avaliação das intervenções realizadas (9). A soma de todos os seus componentes totaliza um índice de alimentação saudável máximo de 100 pontos, sendo as dietas com escore total menor do que 51 pontos classificadas como "de baixa qualidade", com 51 a 80 pontos como "dietas que necessitam de melhorias", e as com mais do que 80 pontos, como "ótimas" (10).</w:t>
      </w:r>
    </w:p>
    <w:p w:rsidR="00CB39B0" w:rsidRDefault="00CB39B0" w:rsidP="00CB39B0">
      <w:pPr>
        <w:pStyle w:val="NormalWeb"/>
      </w:pPr>
      <w:r>
        <w:rPr>
          <w:rFonts w:ascii="Verdana" w:hAnsi="Verdana"/>
          <w:sz w:val="20"/>
          <w:szCs w:val="20"/>
        </w:rPr>
        <w:t xml:space="preserve">As dietas propostas pelo "Dr. </w:t>
      </w:r>
      <w:proofErr w:type="spellStart"/>
      <w:r>
        <w:rPr>
          <w:rFonts w:ascii="Verdana" w:hAnsi="Verdana"/>
          <w:sz w:val="20"/>
          <w:szCs w:val="20"/>
        </w:rPr>
        <w:t>Ornish</w:t>
      </w:r>
      <w:proofErr w:type="spellEnd"/>
      <w:r>
        <w:rPr>
          <w:rFonts w:ascii="Verdana" w:hAnsi="Verdana"/>
          <w:sz w:val="20"/>
          <w:szCs w:val="20"/>
        </w:rPr>
        <w:t>", "Vigilantes do Peso</w:t>
      </w:r>
      <w:r>
        <w:rPr>
          <w:rFonts w:ascii="Verdana" w:hAnsi="Verdana"/>
          <w:sz w:val="20"/>
          <w:szCs w:val="20"/>
          <w:vertAlign w:val="superscript"/>
        </w:rPr>
        <w:t>®</w:t>
      </w:r>
      <w:r>
        <w:rPr>
          <w:rFonts w:ascii="Verdana" w:hAnsi="Verdana"/>
          <w:sz w:val="20"/>
          <w:szCs w:val="20"/>
        </w:rPr>
        <w:t xml:space="preserve"> rica em carboidratos" e a "Revolução da Glicose" [dieta com a escolha de alimentos com baixo índice glicêmico (IG) e carga glicêmica (CG)] parecem ter os maiores índices de alimentação saudável (</w:t>
      </w:r>
      <w:hyperlink r:id="rId15" w:history="1">
        <w:r>
          <w:rPr>
            <w:rStyle w:val="Hyperlink"/>
            <w:rFonts w:ascii="Verdana" w:hAnsi="Verdana"/>
            <w:sz w:val="20"/>
            <w:szCs w:val="20"/>
          </w:rPr>
          <w:t>tabela 2</w:t>
        </w:r>
      </w:hyperlink>
      <w:r>
        <w:rPr>
          <w:rFonts w:ascii="Verdana" w:hAnsi="Verdana"/>
          <w:sz w:val="20"/>
          <w:szCs w:val="20"/>
        </w:rPr>
        <w:t xml:space="preserve">). O IG representa uma medida da qualidade do carboidrato contido nos alimentos, enquanto a </w:t>
      </w:r>
      <w:proofErr w:type="gramStart"/>
      <w:r>
        <w:rPr>
          <w:rFonts w:ascii="Verdana" w:hAnsi="Verdana"/>
          <w:sz w:val="20"/>
          <w:szCs w:val="20"/>
        </w:rPr>
        <w:t>CG expressa</w:t>
      </w:r>
      <w:proofErr w:type="gramEnd"/>
      <w:r>
        <w:rPr>
          <w:rFonts w:ascii="Verdana" w:hAnsi="Verdana"/>
          <w:sz w:val="20"/>
          <w:szCs w:val="20"/>
        </w:rPr>
        <w:t xml:space="preserve"> o produto do IG do alimento e seu conteúdo de carboidrato disponível (11). Em relação ao aporte energético, os planejamentos alimentares propostos por várias dietas oferecem importante restrição energética diária, geralmente inferior a 1.200 kcal/dia (7). Entretanto, essas dietas podem ser deficientes em micronutrientes, com efeitos desfavoráveis no estado nutricional do paciente e também na redução da perda ponderal (12,13).</w:t>
      </w:r>
    </w:p>
    <w:p w:rsidR="00CB39B0" w:rsidRDefault="00CB39B0" w:rsidP="00CB39B0">
      <w:pPr>
        <w:pStyle w:val="NormalWeb"/>
      </w:pPr>
      <w:r>
        <w:rPr>
          <w:rFonts w:ascii="Verdana" w:hAnsi="Verdana"/>
          <w:sz w:val="20"/>
          <w:szCs w:val="20"/>
        </w:rPr>
        <w:t>Em contrapartida às dietas populares, a comunidade científica tem concentrado esforços para encontrar a maneira mais coerente, saudável e prática para a perda e manutenção do peso corporal. Inúmeras publicações foram produzidas nos últimos dez anos (13). O fato de novas dietas ainda surgirem, tanto no meio acadêmico quanto em publicações não científicas, demonstra que ainda não está bem estabelecida qual a melhor estratégia dietoterápica para a perda de peso.</w:t>
      </w:r>
    </w:p>
    <w:p w:rsidR="00CB39B0" w:rsidRDefault="00CB39B0" w:rsidP="00CB39B0">
      <w:pPr>
        <w:pStyle w:val="NormalWeb"/>
      </w:pPr>
      <w:r>
        <w:rPr>
          <w:rFonts w:ascii="Verdana" w:hAnsi="Verdana"/>
          <w:sz w:val="20"/>
          <w:szCs w:val="20"/>
        </w:rPr>
        <w:t xml:space="preserve">A mais recente revisão sistemática encontrada na literatura de Franz e cols. (13) ao avaliar dietas para emagrecimento revisou estudos publicados entre 1997 e setembro de 2004, acompanhada de </w:t>
      </w:r>
      <w:proofErr w:type="spellStart"/>
      <w:r>
        <w:rPr>
          <w:rFonts w:ascii="Verdana" w:hAnsi="Verdana"/>
          <w:sz w:val="20"/>
          <w:szCs w:val="20"/>
        </w:rPr>
        <w:t>metanálise</w:t>
      </w:r>
      <w:proofErr w:type="spellEnd"/>
      <w:r>
        <w:rPr>
          <w:rFonts w:ascii="Verdana" w:hAnsi="Verdana"/>
          <w:sz w:val="20"/>
          <w:szCs w:val="20"/>
        </w:rPr>
        <w:t xml:space="preserve"> de 80 ensaios clínicos </w:t>
      </w:r>
      <w:proofErr w:type="spellStart"/>
      <w:r>
        <w:rPr>
          <w:rFonts w:ascii="Verdana" w:hAnsi="Verdana"/>
          <w:sz w:val="20"/>
          <w:szCs w:val="20"/>
        </w:rPr>
        <w:t>randomizados</w:t>
      </w:r>
      <w:proofErr w:type="spellEnd"/>
      <w:r>
        <w:rPr>
          <w:rFonts w:ascii="Verdana" w:hAnsi="Verdana"/>
          <w:sz w:val="20"/>
          <w:szCs w:val="20"/>
        </w:rPr>
        <w:t xml:space="preserve"> (ECR) com pelo menos um ano de duração (13). Na </w:t>
      </w:r>
      <w:hyperlink r:id="rId16" w:history="1">
        <w:r>
          <w:rPr>
            <w:rStyle w:val="Hyperlink"/>
            <w:rFonts w:ascii="Verdana" w:hAnsi="Verdana"/>
            <w:sz w:val="20"/>
            <w:szCs w:val="20"/>
          </w:rPr>
          <w:t>tabela 3</w:t>
        </w:r>
      </w:hyperlink>
      <w:r>
        <w:rPr>
          <w:rFonts w:ascii="Verdana" w:hAnsi="Verdana"/>
          <w:sz w:val="20"/>
          <w:szCs w:val="20"/>
        </w:rPr>
        <w:t xml:space="preserve"> estão descritas as intervenções avaliadas pela revisão citada, o número de estudos incluídos na revisão e o efeito na perda ponderal em 6, 12 e 48 meses de acompanhamento. As intervenções que envolveram redução energética e/ou </w:t>
      </w:r>
      <w:proofErr w:type="gramStart"/>
      <w:r>
        <w:rPr>
          <w:rFonts w:ascii="Verdana" w:hAnsi="Verdana"/>
          <w:sz w:val="20"/>
          <w:szCs w:val="20"/>
        </w:rPr>
        <w:t>uso</w:t>
      </w:r>
      <w:proofErr w:type="gramEnd"/>
      <w:r>
        <w:rPr>
          <w:rFonts w:ascii="Verdana" w:hAnsi="Verdana"/>
          <w:sz w:val="20"/>
          <w:szCs w:val="20"/>
        </w:rPr>
        <w:t xml:space="preserve"> de medicação </w:t>
      </w:r>
      <w:proofErr w:type="spellStart"/>
      <w:r>
        <w:rPr>
          <w:rFonts w:ascii="Verdana" w:hAnsi="Verdana"/>
          <w:sz w:val="20"/>
          <w:szCs w:val="20"/>
        </w:rPr>
        <w:t>antiobesidade</w:t>
      </w:r>
      <w:proofErr w:type="spellEnd"/>
      <w:r>
        <w:rPr>
          <w:rFonts w:ascii="Verdana" w:hAnsi="Verdana"/>
          <w:sz w:val="20"/>
          <w:szCs w:val="20"/>
        </w:rPr>
        <w:t xml:space="preserve"> levaram à perda ponderal de 5% a 8% do peso inicial nos seis primeiros meses, com estabilização de peso a partir daí. Nos estudos com maior tempo de seguimento (até quatro anos), a média de perda ponderal obtida foi de 3% a 5,3% do peso inicial, sem recuperação do peso perdido.</w:t>
      </w:r>
    </w:p>
    <w:p w:rsidR="00CB39B0" w:rsidRDefault="00CB39B0" w:rsidP="00CB39B0">
      <w:pPr>
        <w:pStyle w:val="NormalWeb"/>
      </w:pPr>
      <w:r>
        <w:rPr>
          <w:rFonts w:ascii="Verdana" w:hAnsi="Verdana"/>
          <w:sz w:val="20"/>
          <w:szCs w:val="20"/>
        </w:rPr>
        <w:t xml:space="preserve">Franz e cols. (13), em sua revisão, também descreveram uma perda ponderal de 8,5% do peso inicial em seis meses quando orientações específicas de prática de exercícios foram adicionadas às intervenções dietoterápicas, também com estabilização de peso ao final de 12 meses e manutenção de 4% de perda ponderal ao final de quatro anos de seguimento. Nos estudos com intervenções dietoterápicas de substituições de refeições ou com dietas muito restritas em energia, foi observada maior perda ponderal ao final de seis meses (-9,6% e -16% do peso inicial, respectivamente). </w:t>
      </w:r>
      <w:r>
        <w:rPr>
          <w:rFonts w:ascii="Verdana" w:hAnsi="Verdana"/>
          <w:sz w:val="20"/>
          <w:szCs w:val="20"/>
        </w:rPr>
        <w:lastRenderedPageBreak/>
        <w:t xml:space="preserve">Entretanto, esse tipo de intervenção foi acompanhado de rápida recuperação de peso aos 12 meses de seguimento. Em contrapartida, somente orientações gerais ou a prática de exercício físico isolada promoveram perda de peso mínima de até 2,7%. É importante salientar que na citada revisão (13) não foram </w:t>
      </w:r>
      <w:proofErr w:type="gramStart"/>
      <w:r>
        <w:rPr>
          <w:rFonts w:ascii="Verdana" w:hAnsi="Verdana"/>
          <w:sz w:val="20"/>
          <w:szCs w:val="20"/>
        </w:rPr>
        <w:t>avaliadas</w:t>
      </w:r>
      <w:proofErr w:type="gramEnd"/>
      <w:r>
        <w:rPr>
          <w:rFonts w:ascii="Verdana" w:hAnsi="Verdana"/>
          <w:sz w:val="20"/>
          <w:szCs w:val="20"/>
        </w:rPr>
        <w:t xml:space="preserve"> a composição de </w:t>
      </w:r>
      <w:proofErr w:type="spellStart"/>
      <w:r>
        <w:rPr>
          <w:rFonts w:ascii="Verdana" w:hAnsi="Verdana"/>
          <w:sz w:val="20"/>
          <w:szCs w:val="20"/>
        </w:rPr>
        <w:t>macronutrientes</w:t>
      </w:r>
      <w:proofErr w:type="spellEnd"/>
      <w:r>
        <w:rPr>
          <w:rFonts w:ascii="Verdana" w:hAnsi="Verdana"/>
          <w:sz w:val="20"/>
          <w:szCs w:val="20"/>
        </w:rPr>
        <w:t xml:space="preserve"> e/ou a qualidade das dietas prescritas, e os resultados apresentados referem-se apenas àqueles pacientes que completaram os estudos.</w:t>
      </w:r>
    </w:p>
    <w:p w:rsidR="00CB39B0" w:rsidRDefault="00CB39B0" w:rsidP="00CB39B0">
      <w:pPr>
        <w:pStyle w:val="NormalWeb"/>
      </w:pPr>
      <w:r>
        <w:rPr>
          <w:rFonts w:ascii="Verdana" w:hAnsi="Verdana"/>
          <w:sz w:val="20"/>
          <w:szCs w:val="20"/>
        </w:rPr>
        <w:t>Os dados disponíveis sobre as dietas para emagrecimento ainda não deixam claro de forma definitiva se, além da restrição energética, o tipo de dieta prescrita exerce influência na perda ponderal de pacientes com excesso de peso. Dessa forma, o presente manuscrito teve como objetivo revisar de forma sistemática o efeito na perda de peso corporal dos componentes dietéticos (</w:t>
      </w:r>
      <w:proofErr w:type="spellStart"/>
      <w:r>
        <w:rPr>
          <w:rFonts w:ascii="Verdana" w:hAnsi="Verdana"/>
          <w:sz w:val="20"/>
          <w:szCs w:val="20"/>
        </w:rPr>
        <w:t>macronutrientes</w:t>
      </w:r>
      <w:proofErr w:type="spellEnd"/>
      <w:r>
        <w:rPr>
          <w:rFonts w:ascii="Verdana" w:hAnsi="Verdana"/>
          <w:sz w:val="20"/>
          <w:szCs w:val="20"/>
        </w:rPr>
        <w:t xml:space="preserve"> e/ou alimentos) de dietas para emagrecimento em indivíduos adultos.</w:t>
      </w:r>
    </w:p>
    <w:p w:rsidR="00CB39B0" w:rsidRDefault="00CB39B0" w:rsidP="00CB39B0">
      <w:pPr>
        <w:pStyle w:val="NormalWeb"/>
      </w:pPr>
      <w:r>
        <w:t> </w:t>
      </w:r>
    </w:p>
    <w:p w:rsidR="00CB39B0" w:rsidRDefault="00CB39B0" w:rsidP="00CB39B0">
      <w:pPr>
        <w:pStyle w:val="NormalWeb"/>
      </w:pPr>
      <w:r>
        <w:rPr>
          <w:rFonts w:ascii="Verdana" w:hAnsi="Verdana"/>
          <w:b/>
          <w:bCs/>
        </w:rPr>
        <w:t>MÉTODOS</w:t>
      </w:r>
    </w:p>
    <w:p w:rsidR="00CB39B0" w:rsidRDefault="00CB39B0" w:rsidP="00CB39B0">
      <w:pPr>
        <w:pStyle w:val="NormalWeb"/>
      </w:pPr>
      <w:r>
        <w:rPr>
          <w:rFonts w:ascii="Verdana" w:hAnsi="Verdana"/>
          <w:sz w:val="20"/>
          <w:szCs w:val="20"/>
        </w:rPr>
        <w:t xml:space="preserve">Para a presente revisão foram selecionados ECR no </w:t>
      </w:r>
      <w:proofErr w:type="spellStart"/>
      <w:proofErr w:type="gramStart"/>
      <w:r>
        <w:rPr>
          <w:rFonts w:ascii="Verdana" w:hAnsi="Verdana"/>
          <w:sz w:val="20"/>
          <w:szCs w:val="20"/>
        </w:rPr>
        <w:t>MedLine</w:t>
      </w:r>
      <w:proofErr w:type="spellEnd"/>
      <w:proofErr w:type="gramEnd"/>
      <w:r>
        <w:rPr>
          <w:rFonts w:ascii="Verdana" w:hAnsi="Verdana"/>
          <w:sz w:val="20"/>
          <w:szCs w:val="20"/>
        </w:rPr>
        <w:t xml:space="preserve"> (língua portuguesa, inglesa e espanhola), além de publicações específicas da área médica e de nutrição de outubro de 2004 - após a publicação da revisão sistemática de Franz e cols. (13) - até fevereiro de 2009 (descritores utilizados: </w:t>
      </w:r>
      <w:proofErr w:type="spellStart"/>
      <w:r>
        <w:rPr>
          <w:rFonts w:ascii="Verdana" w:hAnsi="Verdana"/>
          <w:i/>
          <w:iCs/>
          <w:sz w:val="20"/>
          <w:szCs w:val="20"/>
        </w:rPr>
        <w:t>diet</w:t>
      </w:r>
      <w:proofErr w:type="spellEnd"/>
      <w:r>
        <w:rPr>
          <w:rFonts w:ascii="Verdana" w:hAnsi="Verdana"/>
          <w:sz w:val="20"/>
          <w:szCs w:val="20"/>
        </w:rPr>
        <w:t xml:space="preserve"> e </w:t>
      </w:r>
      <w:proofErr w:type="spellStart"/>
      <w:r>
        <w:rPr>
          <w:rFonts w:ascii="Verdana" w:hAnsi="Verdana"/>
          <w:i/>
          <w:iCs/>
          <w:sz w:val="20"/>
          <w:szCs w:val="20"/>
        </w:rPr>
        <w:t>weight</w:t>
      </w:r>
      <w:proofErr w:type="spellEnd"/>
      <w:r>
        <w:rPr>
          <w:rFonts w:ascii="Verdana" w:hAnsi="Verdana"/>
          <w:i/>
          <w:iCs/>
          <w:sz w:val="20"/>
          <w:szCs w:val="20"/>
        </w:rPr>
        <w:t xml:space="preserve"> </w:t>
      </w:r>
      <w:proofErr w:type="spellStart"/>
      <w:r>
        <w:rPr>
          <w:rFonts w:ascii="Verdana" w:hAnsi="Verdana"/>
          <w:i/>
          <w:iCs/>
          <w:sz w:val="20"/>
          <w:szCs w:val="20"/>
        </w:rPr>
        <w:t>loss</w:t>
      </w:r>
      <w:proofErr w:type="spellEnd"/>
      <w:r>
        <w:rPr>
          <w:rFonts w:ascii="Verdana" w:hAnsi="Verdana"/>
          <w:i/>
          <w:iCs/>
          <w:sz w:val="20"/>
          <w:szCs w:val="20"/>
        </w:rPr>
        <w:t>)</w:t>
      </w:r>
      <w:r>
        <w:rPr>
          <w:rFonts w:ascii="Verdana" w:hAnsi="Verdana"/>
          <w:sz w:val="20"/>
          <w:szCs w:val="20"/>
        </w:rPr>
        <w:t xml:space="preserve"> concomitantemente por dois dos autores do presente manuscrito (JCA e TCR). Não foram incluídos estudos realizados e não publicados, resumos de eventos científicos (publicados ou não), dissertações e teses. Foram incluídos ECR com pelo menos um ano de acompanhamento que avaliaram o efeito de diferentes tipos de dietas na redução do peso corporal de indivíduos adultos. Foram excluídos estudos que avaliaram o efeito de medicações </w:t>
      </w:r>
      <w:proofErr w:type="spellStart"/>
      <w:r>
        <w:rPr>
          <w:rFonts w:ascii="Verdana" w:hAnsi="Verdana"/>
          <w:sz w:val="20"/>
          <w:szCs w:val="20"/>
        </w:rPr>
        <w:t>antiobesidade</w:t>
      </w:r>
      <w:proofErr w:type="spellEnd"/>
      <w:r>
        <w:rPr>
          <w:rFonts w:ascii="Verdana" w:hAnsi="Verdana"/>
          <w:sz w:val="20"/>
          <w:szCs w:val="20"/>
        </w:rPr>
        <w:t xml:space="preserve">, cirurgias para obesidade ou que não atendiam ao objetivo proposto da presente revisão. O desfecho primário da presente revisão foi </w:t>
      </w:r>
      <w:proofErr w:type="gramStart"/>
      <w:r>
        <w:rPr>
          <w:rFonts w:ascii="Verdana" w:hAnsi="Verdana"/>
          <w:sz w:val="20"/>
          <w:szCs w:val="20"/>
        </w:rPr>
        <w:t>a</w:t>
      </w:r>
      <w:proofErr w:type="gramEnd"/>
      <w:r>
        <w:rPr>
          <w:rFonts w:ascii="Verdana" w:hAnsi="Verdana"/>
          <w:sz w:val="20"/>
          <w:szCs w:val="20"/>
        </w:rPr>
        <w:t xml:space="preserve"> variação de peso observada entre o início e o final do estudo. Em cada ECR, após a extração do dado original, a variação de peso foi apresentada como percentual do peso inicial. Foi definido como perda de peso adequada valor maior ou igual a 5% (12).</w:t>
      </w:r>
    </w:p>
    <w:p w:rsidR="00CB39B0" w:rsidRDefault="00CB39B0" w:rsidP="00CB39B0">
      <w:pPr>
        <w:pStyle w:val="NormalWeb"/>
      </w:pPr>
      <w:r>
        <w:t> </w:t>
      </w:r>
    </w:p>
    <w:p w:rsidR="00CB39B0" w:rsidRDefault="00CB39B0" w:rsidP="00CB39B0">
      <w:pPr>
        <w:pStyle w:val="NormalWeb"/>
      </w:pPr>
      <w:r>
        <w:rPr>
          <w:rFonts w:ascii="Verdana" w:hAnsi="Verdana"/>
          <w:b/>
          <w:bCs/>
        </w:rPr>
        <w:t>RESULTADOS</w:t>
      </w:r>
    </w:p>
    <w:p w:rsidR="00CB39B0" w:rsidRDefault="00CB39B0" w:rsidP="00CB39B0">
      <w:pPr>
        <w:pStyle w:val="NormalWeb"/>
      </w:pPr>
      <w:r>
        <w:rPr>
          <w:rFonts w:ascii="Verdana" w:hAnsi="Verdana"/>
          <w:sz w:val="20"/>
          <w:szCs w:val="20"/>
        </w:rPr>
        <w:t xml:space="preserve">Vinte e três artigos preencheram os critérios de inclusão adotados na presente revisão sistemática (12,14-35). A </w:t>
      </w:r>
      <w:hyperlink r:id="rId17" w:anchor="f1" w:history="1">
        <w:r>
          <w:rPr>
            <w:rStyle w:val="Hyperlink"/>
            <w:rFonts w:ascii="Verdana" w:hAnsi="Verdana"/>
            <w:sz w:val="20"/>
            <w:szCs w:val="20"/>
          </w:rPr>
          <w:t>figura 1</w:t>
        </w:r>
      </w:hyperlink>
      <w:r>
        <w:rPr>
          <w:rFonts w:ascii="Verdana" w:hAnsi="Verdana"/>
          <w:sz w:val="20"/>
          <w:szCs w:val="20"/>
        </w:rPr>
        <w:t xml:space="preserve"> descreve o fluxograma da seleção dos estudos. Na </w:t>
      </w:r>
      <w:hyperlink r:id="rId18" w:history="1">
        <w:r>
          <w:rPr>
            <w:rStyle w:val="Hyperlink"/>
            <w:rFonts w:ascii="Verdana" w:hAnsi="Verdana"/>
            <w:sz w:val="20"/>
            <w:szCs w:val="20"/>
          </w:rPr>
          <w:t>tabela 4</w:t>
        </w:r>
      </w:hyperlink>
      <w:r>
        <w:rPr>
          <w:rFonts w:ascii="Verdana" w:hAnsi="Verdana"/>
          <w:sz w:val="20"/>
          <w:szCs w:val="20"/>
        </w:rPr>
        <w:t xml:space="preserve"> estão descritas as principais características dos ECR de acordo com o tipo de dieta avaliada. O fator de impacto - segundo </w:t>
      </w:r>
      <w:proofErr w:type="spellStart"/>
      <w:r>
        <w:rPr>
          <w:rFonts w:ascii="Verdana" w:hAnsi="Verdana"/>
          <w:i/>
          <w:iCs/>
          <w:sz w:val="20"/>
          <w:szCs w:val="20"/>
        </w:rPr>
        <w:t>Journal</w:t>
      </w:r>
      <w:proofErr w:type="spellEnd"/>
      <w:r>
        <w:rPr>
          <w:rFonts w:ascii="Verdana" w:hAnsi="Verdana"/>
          <w:i/>
          <w:iCs/>
          <w:sz w:val="20"/>
          <w:szCs w:val="20"/>
        </w:rPr>
        <w:t xml:space="preserve"> </w:t>
      </w:r>
      <w:proofErr w:type="spellStart"/>
      <w:r>
        <w:rPr>
          <w:rFonts w:ascii="Verdana" w:hAnsi="Verdana"/>
          <w:i/>
          <w:iCs/>
          <w:sz w:val="20"/>
          <w:szCs w:val="20"/>
        </w:rPr>
        <w:t>Citation</w:t>
      </w:r>
      <w:proofErr w:type="spellEnd"/>
      <w:r>
        <w:rPr>
          <w:rFonts w:ascii="Verdana" w:hAnsi="Verdana"/>
          <w:i/>
          <w:iCs/>
          <w:sz w:val="20"/>
          <w:szCs w:val="20"/>
        </w:rPr>
        <w:t xml:space="preserve"> </w:t>
      </w:r>
      <w:proofErr w:type="spellStart"/>
      <w:r>
        <w:rPr>
          <w:rFonts w:ascii="Verdana" w:hAnsi="Verdana"/>
          <w:i/>
          <w:iCs/>
          <w:sz w:val="20"/>
          <w:szCs w:val="20"/>
        </w:rPr>
        <w:t>Report</w:t>
      </w:r>
      <w:proofErr w:type="spellEnd"/>
      <w:r>
        <w:rPr>
          <w:rFonts w:ascii="Verdana" w:hAnsi="Verdana"/>
          <w:i/>
          <w:iCs/>
          <w:sz w:val="20"/>
          <w:szCs w:val="20"/>
          <w:vertAlign w:val="superscript"/>
        </w:rPr>
        <w:t>®</w:t>
      </w:r>
      <w:r>
        <w:rPr>
          <w:rFonts w:ascii="Verdana" w:hAnsi="Verdana"/>
          <w:i/>
          <w:iCs/>
          <w:sz w:val="20"/>
          <w:szCs w:val="20"/>
        </w:rPr>
        <w:t xml:space="preserve"> 2007</w:t>
      </w:r>
      <w:r>
        <w:rPr>
          <w:rFonts w:ascii="Verdana" w:hAnsi="Verdana"/>
          <w:sz w:val="20"/>
          <w:szCs w:val="20"/>
        </w:rPr>
        <w:t xml:space="preserve"> (36) - dos estudos selecionados foi de </w:t>
      </w:r>
      <w:proofErr w:type="gramStart"/>
      <w:r>
        <w:rPr>
          <w:rFonts w:ascii="Verdana" w:hAnsi="Verdana"/>
          <w:sz w:val="20"/>
          <w:szCs w:val="20"/>
        </w:rPr>
        <w:t>4,</w:t>
      </w:r>
      <w:proofErr w:type="gramEnd"/>
      <w:r>
        <w:rPr>
          <w:rFonts w:ascii="Verdana" w:hAnsi="Verdana"/>
          <w:sz w:val="20"/>
          <w:szCs w:val="20"/>
        </w:rPr>
        <w:t>953 (mediana), variando de 1,612 a 52,589. Setenta e oito por cento dos estudos foram publicados em periódicos com fator de impacto maior do que três, e cinco artigos foram publicados no mesmo periódico (</w:t>
      </w:r>
      <w:proofErr w:type="spellStart"/>
      <w:r>
        <w:rPr>
          <w:rFonts w:ascii="Verdana" w:hAnsi="Verdana"/>
          <w:i/>
          <w:iCs/>
          <w:sz w:val="20"/>
          <w:szCs w:val="20"/>
        </w:rPr>
        <w:t>American</w:t>
      </w:r>
      <w:proofErr w:type="spellEnd"/>
      <w:r>
        <w:rPr>
          <w:rFonts w:ascii="Verdana" w:hAnsi="Verdana"/>
          <w:i/>
          <w:iCs/>
          <w:sz w:val="20"/>
          <w:szCs w:val="20"/>
        </w:rPr>
        <w:t xml:space="preserve"> </w:t>
      </w:r>
      <w:proofErr w:type="spellStart"/>
      <w:r>
        <w:rPr>
          <w:rFonts w:ascii="Verdana" w:hAnsi="Verdana"/>
          <w:i/>
          <w:iCs/>
          <w:sz w:val="20"/>
          <w:szCs w:val="20"/>
        </w:rPr>
        <w:t>Journal</w:t>
      </w:r>
      <w:proofErr w:type="spellEnd"/>
      <w:r>
        <w:rPr>
          <w:rFonts w:ascii="Verdana" w:hAnsi="Verdana"/>
          <w:i/>
          <w:iCs/>
          <w:sz w:val="20"/>
          <w:szCs w:val="20"/>
        </w:rPr>
        <w:t xml:space="preserve"> </w:t>
      </w:r>
      <w:proofErr w:type="spellStart"/>
      <w:r>
        <w:rPr>
          <w:rFonts w:ascii="Verdana" w:hAnsi="Verdana"/>
          <w:i/>
          <w:iCs/>
          <w:sz w:val="20"/>
          <w:szCs w:val="20"/>
        </w:rPr>
        <w:t>of</w:t>
      </w:r>
      <w:proofErr w:type="spellEnd"/>
      <w:r>
        <w:rPr>
          <w:rFonts w:ascii="Verdana" w:hAnsi="Verdana"/>
          <w:i/>
          <w:iCs/>
          <w:sz w:val="20"/>
          <w:szCs w:val="20"/>
        </w:rPr>
        <w:t xml:space="preserve"> </w:t>
      </w:r>
      <w:proofErr w:type="spellStart"/>
      <w:r>
        <w:rPr>
          <w:rFonts w:ascii="Verdana" w:hAnsi="Verdana"/>
          <w:i/>
          <w:iCs/>
          <w:sz w:val="20"/>
          <w:szCs w:val="20"/>
        </w:rPr>
        <w:t>Clinical</w:t>
      </w:r>
      <w:proofErr w:type="spellEnd"/>
      <w:r>
        <w:rPr>
          <w:rFonts w:ascii="Verdana" w:hAnsi="Verdana"/>
          <w:i/>
          <w:iCs/>
          <w:sz w:val="20"/>
          <w:szCs w:val="20"/>
        </w:rPr>
        <w:t xml:space="preserve"> </w:t>
      </w:r>
      <w:proofErr w:type="spellStart"/>
      <w:r>
        <w:rPr>
          <w:rFonts w:ascii="Verdana" w:hAnsi="Verdana"/>
          <w:i/>
          <w:iCs/>
          <w:sz w:val="20"/>
          <w:szCs w:val="20"/>
        </w:rPr>
        <w:t>Nutrition</w:t>
      </w:r>
      <w:proofErr w:type="spellEnd"/>
      <w:r>
        <w:rPr>
          <w:rFonts w:ascii="Verdana" w:hAnsi="Verdana"/>
          <w:sz w:val="20"/>
          <w:szCs w:val="20"/>
        </w:rPr>
        <w:t xml:space="preserve">) com fator de impacto igual a </w:t>
      </w:r>
      <w:proofErr w:type="gramStart"/>
      <w:r>
        <w:rPr>
          <w:rFonts w:ascii="Verdana" w:hAnsi="Verdana"/>
          <w:sz w:val="20"/>
          <w:szCs w:val="20"/>
        </w:rPr>
        <w:t>6,</w:t>
      </w:r>
      <w:proofErr w:type="gramEnd"/>
      <w:r>
        <w:rPr>
          <w:rFonts w:ascii="Verdana" w:hAnsi="Verdana"/>
          <w:sz w:val="20"/>
          <w:szCs w:val="20"/>
        </w:rPr>
        <w:t xml:space="preserve">603 (20-23,26,29). Doze (52,2%) manuscritos apresentaram os resultados de acordo com o número de pacientes </w:t>
      </w:r>
      <w:proofErr w:type="spellStart"/>
      <w:r>
        <w:rPr>
          <w:rFonts w:ascii="Verdana" w:hAnsi="Verdana"/>
          <w:sz w:val="20"/>
          <w:szCs w:val="20"/>
        </w:rPr>
        <w:t>randomizados</w:t>
      </w:r>
      <w:proofErr w:type="spellEnd"/>
      <w:r>
        <w:rPr>
          <w:rFonts w:ascii="Verdana" w:hAnsi="Verdana"/>
          <w:sz w:val="20"/>
          <w:szCs w:val="20"/>
        </w:rPr>
        <w:t xml:space="preserve"> (método </w:t>
      </w:r>
      <w:proofErr w:type="spellStart"/>
      <w:r>
        <w:rPr>
          <w:rFonts w:ascii="Verdana" w:hAnsi="Verdana"/>
          <w:i/>
          <w:iCs/>
          <w:sz w:val="20"/>
          <w:szCs w:val="20"/>
        </w:rPr>
        <w:t>intention-to-treat</w:t>
      </w:r>
      <w:proofErr w:type="spellEnd"/>
      <w:r>
        <w:rPr>
          <w:rFonts w:ascii="Verdana" w:hAnsi="Verdana"/>
          <w:sz w:val="20"/>
          <w:szCs w:val="20"/>
        </w:rPr>
        <w:t>) (</w:t>
      </w:r>
      <w:proofErr w:type="gramStart"/>
      <w:r>
        <w:rPr>
          <w:rFonts w:ascii="Verdana" w:hAnsi="Verdana"/>
          <w:sz w:val="20"/>
          <w:szCs w:val="20"/>
        </w:rPr>
        <w:t>12,</w:t>
      </w:r>
      <w:proofErr w:type="gramEnd"/>
      <w:r>
        <w:rPr>
          <w:rFonts w:ascii="Verdana" w:hAnsi="Verdana"/>
          <w:sz w:val="20"/>
          <w:szCs w:val="20"/>
        </w:rPr>
        <w:t>16,17,20-22,24-27,32,33,35), sete (30,4%) apresentaram os dados somente dos participantes que completaram o estudo (14,15,18,19,23,28,30), um manuscrito apresentou os resultados somente dos pacientes que preencheram os registros alimentares (30) e três manuscritos não descrevem como foi feita a análise dos resultados (29,31,34).</w:t>
      </w:r>
    </w:p>
    <w:p w:rsidR="00CB39B0" w:rsidRDefault="00CB39B0" w:rsidP="00CB39B0">
      <w:pPr>
        <w:pStyle w:val="NormalWeb"/>
      </w:pPr>
      <w:bookmarkStart w:id="1" w:name="f1"/>
      <w:bookmarkEnd w:id="1"/>
      <w:r>
        <w:t> </w:t>
      </w:r>
    </w:p>
    <w:p w:rsidR="00CB39B0" w:rsidRDefault="00CB39B0" w:rsidP="00CB39B0">
      <w:pPr>
        <w:pStyle w:val="NormalWeb"/>
        <w:jc w:val="center"/>
      </w:pPr>
      <w:r>
        <w:rPr>
          <w:noProof/>
        </w:rPr>
        <w:lastRenderedPageBreak/>
        <w:drawing>
          <wp:inline distT="0" distB="0" distL="0" distR="0">
            <wp:extent cx="3554095" cy="3666490"/>
            <wp:effectExtent l="19050" t="0" r="8255" b="0"/>
            <wp:docPr id="5" name="Imagem 5" descr="http://www.scielo.br/img/revistas/abem/v53n5/20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lo.br/img/revistas/abem/v53n5/20f01.gif"/>
                    <pic:cNvPicPr>
                      <a:picLocks noChangeAspect="1" noChangeArrowheads="1"/>
                    </pic:cNvPicPr>
                  </pic:nvPicPr>
                  <pic:blipFill>
                    <a:blip r:embed="rId19"/>
                    <a:srcRect/>
                    <a:stretch>
                      <a:fillRect/>
                    </a:stretch>
                  </pic:blipFill>
                  <pic:spPr bwMode="auto">
                    <a:xfrm>
                      <a:off x="0" y="0"/>
                      <a:ext cx="3554095" cy="3666490"/>
                    </a:xfrm>
                    <a:prstGeom prst="rect">
                      <a:avLst/>
                    </a:prstGeom>
                    <a:noFill/>
                    <a:ln w="9525">
                      <a:noFill/>
                      <a:miter lim="800000"/>
                      <a:headEnd/>
                      <a:tailEnd/>
                    </a:ln>
                  </pic:spPr>
                </pic:pic>
              </a:graphicData>
            </a:graphic>
          </wp:inline>
        </w:drawing>
      </w:r>
    </w:p>
    <w:p w:rsidR="00CB39B0" w:rsidRDefault="00CB39B0" w:rsidP="00CB39B0">
      <w:pPr>
        <w:pStyle w:val="NormalWeb"/>
      </w:pPr>
      <w:r>
        <w:t> </w:t>
      </w:r>
    </w:p>
    <w:p w:rsidR="00CB39B0" w:rsidRDefault="00CB39B0" w:rsidP="00CB39B0">
      <w:pPr>
        <w:pStyle w:val="NormalWeb"/>
      </w:pPr>
      <w:r>
        <w:rPr>
          <w:rFonts w:ascii="Verdana" w:hAnsi="Verdana"/>
          <w:b/>
          <w:bCs/>
          <w:sz w:val="20"/>
          <w:szCs w:val="20"/>
        </w:rPr>
        <w:t>Tipos de dietas</w:t>
      </w:r>
    </w:p>
    <w:p w:rsidR="00CB39B0" w:rsidRDefault="00CB39B0" w:rsidP="00CB39B0">
      <w:pPr>
        <w:pStyle w:val="NormalWeb"/>
      </w:pPr>
      <w:r>
        <w:rPr>
          <w:rFonts w:ascii="Verdana" w:hAnsi="Verdana"/>
          <w:sz w:val="20"/>
          <w:szCs w:val="20"/>
        </w:rPr>
        <w:t>Entre os 23 estudos selecionados (12,14-35), diferentes tipos de dietas foram utilizados para promoção de perda de peso. Na maioria das dietas (66,1%) propostas, foram feitas restrições na oferta de energia diária (12,14-17,19-21,23-</w:t>
      </w:r>
      <w:proofErr w:type="gramStart"/>
      <w:r>
        <w:rPr>
          <w:rFonts w:ascii="Verdana" w:hAnsi="Verdana"/>
          <w:sz w:val="20"/>
          <w:szCs w:val="20"/>
        </w:rPr>
        <w:t>26,</w:t>
      </w:r>
      <w:proofErr w:type="gramEnd"/>
      <w:r>
        <w:rPr>
          <w:rFonts w:ascii="Verdana" w:hAnsi="Verdana"/>
          <w:sz w:val="20"/>
          <w:szCs w:val="20"/>
        </w:rPr>
        <w:t xml:space="preserve">28,29,32-35) ou restrição de determinado </w:t>
      </w:r>
      <w:proofErr w:type="spellStart"/>
      <w:r>
        <w:rPr>
          <w:rFonts w:ascii="Verdana" w:hAnsi="Verdana"/>
          <w:sz w:val="20"/>
          <w:szCs w:val="20"/>
        </w:rPr>
        <w:t>macronutriente</w:t>
      </w:r>
      <w:proofErr w:type="spellEnd"/>
      <w:r>
        <w:rPr>
          <w:rFonts w:ascii="Verdana" w:hAnsi="Verdana"/>
          <w:sz w:val="20"/>
          <w:szCs w:val="20"/>
        </w:rPr>
        <w:t>: 14,3% das dietas contêm &lt; 20% do total de energia diária proveniente de lipídeos (12,22-24,27,29,35), 17,9% das dietas apresentam 30% a 40% do total de energia diária proveniente de carboidratos (12,18,24,25,33,35) e 7,1% das dietas contêm &lt; 120 g de carboidratos ao dia (12,18,24,32). Vinte e três por cento das dietas foram propostas sem restrição energética (</w:t>
      </w:r>
      <w:r>
        <w:rPr>
          <w:rFonts w:ascii="Verdana" w:hAnsi="Verdana"/>
          <w:i/>
          <w:iCs/>
          <w:sz w:val="20"/>
          <w:szCs w:val="20"/>
        </w:rPr>
        <w:t xml:space="preserve">ad </w:t>
      </w:r>
      <w:proofErr w:type="spellStart"/>
      <w:r>
        <w:rPr>
          <w:rFonts w:ascii="Verdana" w:hAnsi="Verdana"/>
          <w:i/>
          <w:iCs/>
          <w:sz w:val="20"/>
          <w:szCs w:val="20"/>
        </w:rPr>
        <w:t>libitum</w:t>
      </w:r>
      <w:proofErr w:type="spellEnd"/>
      <w:r>
        <w:rPr>
          <w:rFonts w:ascii="Verdana" w:hAnsi="Verdana"/>
          <w:sz w:val="20"/>
          <w:szCs w:val="20"/>
        </w:rPr>
        <w:t>) (</w:t>
      </w:r>
      <w:proofErr w:type="gramStart"/>
      <w:r>
        <w:rPr>
          <w:rFonts w:ascii="Verdana" w:hAnsi="Verdana"/>
          <w:sz w:val="20"/>
          <w:szCs w:val="20"/>
        </w:rPr>
        <w:t>12,</w:t>
      </w:r>
      <w:proofErr w:type="gramEnd"/>
      <w:r>
        <w:rPr>
          <w:rFonts w:ascii="Verdana" w:hAnsi="Verdana"/>
          <w:sz w:val="20"/>
          <w:szCs w:val="20"/>
        </w:rPr>
        <w:t>14,18,22,24,25,27,30). Em apenas um ECR não foi descrito se houve ou não restrição energética nas dietas propostas (31).</w:t>
      </w:r>
    </w:p>
    <w:p w:rsidR="00CB39B0" w:rsidRDefault="00CB39B0" w:rsidP="00CB39B0">
      <w:pPr>
        <w:pStyle w:val="NormalWeb"/>
      </w:pPr>
      <w:r>
        <w:rPr>
          <w:rFonts w:ascii="Verdana" w:hAnsi="Verdana"/>
          <w:sz w:val="20"/>
          <w:szCs w:val="20"/>
        </w:rPr>
        <w:t xml:space="preserve">Em relação à distribuição dos </w:t>
      </w:r>
      <w:proofErr w:type="spellStart"/>
      <w:r>
        <w:rPr>
          <w:rFonts w:ascii="Verdana" w:hAnsi="Verdana"/>
          <w:sz w:val="20"/>
          <w:szCs w:val="20"/>
        </w:rPr>
        <w:t>macronutrientes</w:t>
      </w:r>
      <w:proofErr w:type="spellEnd"/>
      <w:r>
        <w:rPr>
          <w:rFonts w:ascii="Verdana" w:hAnsi="Verdana"/>
          <w:sz w:val="20"/>
          <w:szCs w:val="20"/>
        </w:rPr>
        <w:t>, 19 (34,0%) das 56 dietas avaliadas nos diferentes estudos apresentaram distribuição prudente, isto é, 50% a 60% da energia proveniente de carboidratos, 15% a 20% de proteínas e 20% a 30% de lipídeos (14-</w:t>
      </w:r>
      <w:proofErr w:type="gramStart"/>
      <w:r>
        <w:rPr>
          <w:rFonts w:ascii="Verdana" w:hAnsi="Verdana"/>
          <w:sz w:val="20"/>
          <w:szCs w:val="20"/>
        </w:rPr>
        <w:t>17,</w:t>
      </w:r>
      <w:proofErr w:type="gramEnd"/>
      <w:r>
        <w:rPr>
          <w:rFonts w:ascii="Verdana" w:hAnsi="Verdana"/>
          <w:sz w:val="20"/>
          <w:szCs w:val="20"/>
        </w:rPr>
        <w:t>20,24,27,28,31-34). Em três desses estudos (</w:t>
      </w:r>
      <w:proofErr w:type="gramStart"/>
      <w:r>
        <w:rPr>
          <w:rFonts w:ascii="Verdana" w:hAnsi="Verdana"/>
          <w:sz w:val="20"/>
          <w:szCs w:val="20"/>
        </w:rPr>
        <w:t>15,</w:t>
      </w:r>
      <w:proofErr w:type="gramEnd"/>
      <w:r>
        <w:rPr>
          <w:rFonts w:ascii="Verdana" w:hAnsi="Verdana"/>
          <w:sz w:val="20"/>
          <w:szCs w:val="20"/>
        </w:rPr>
        <w:t xml:space="preserve">16,19), houve a substituição de uma ou duas refeições por sopas, bebidas tipo </w:t>
      </w:r>
      <w:proofErr w:type="spellStart"/>
      <w:r>
        <w:rPr>
          <w:rFonts w:ascii="Verdana" w:hAnsi="Verdana"/>
          <w:i/>
          <w:iCs/>
          <w:sz w:val="20"/>
          <w:szCs w:val="20"/>
        </w:rPr>
        <w:t>shake</w:t>
      </w:r>
      <w:proofErr w:type="spellEnd"/>
      <w:r>
        <w:rPr>
          <w:rFonts w:ascii="Verdana" w:hAnsi="Verdana"/>
          <w:sz w:val="20"/>
          <w:szCs w:val="20"/>
        </w:rPr>
        <w:t xml:space="preserve"> ou barras de cereal enriquecidas com micronutrientes. Na maioria das dietas prudentes, houve restrição energética (12,15-</w:t>
      </w:r>
      <w:proofErr w:type="gramStart"/>
      <w:r>
        <w:rPr>
          <w:rFonts w:ascii="Verdana" w:hAnsi="Verdana"/>
          <w:sz w:val="20"/>
          <w:szCs w:val="20"/>
        </w:rPr>
        <w:t>17,</w:t>
      </w:r>
      <w:proofErr w:type="gramEnd"/>
      <w:r>
        <w:rPr>
          <w:rFonts w:ascii="Verdana" w:hAnsi="Verdana"/>
          <w:sz w:val="20"/>
          <w:szCs w:val="20"/>
        </w:rPr>
        <w:t>19,28,31-34).</w:t>
      </w:r>
    </w:p>
    <w:p w:rsidR="00CB39B0" w:rsidRDefault="00CB39B0" w:rsidP="00CB39B0">
      <w:pPr>
        <w:pStyle w:val="NormalWeb"/>
      </w:pPr>
      <w:r>
        <w:rPr>
          <w:rFonts w:ascii="Verdana" w:hAnsi="Verdana"/>
          <w:sz w:val="20"/>
          <w:szCs w:val="20"/>
        </w:rPr>
        <w:t xml:space="preserve">Além da proporção de </w:t>
      </w:r>
      <w:proofErr w:type="spellStart"/>
      <w:r>
        <w:rPr>
          <w:rFonts w:ascii="Verdana" w:hAnsi="Verdana"/>
          <w:sz w:val="20"/>
          <w:szCs w:val="20"/>
        </w:rPr>
        <w:t>macronutrientes</w:t>
      </w:r>
      <w:proofErr w:type="spellEnd"/>
      <w:r>
        <w:rPr>
          <w:rFonts w:ascii="Verdana" w:hAnsi="Verdana"/>
          <w:sz w:val="20"/>
          <w:szCs w:val="20"/>
        </w:rPr>
        <w:t xml:space="preserve"> nas dietas, o efeito de diferentes fontes alimentares na perda de peso também foi avaliado (19 dietas) por meio de dieta </w:t>
      </w:r>
      <w:proofErr w:type="spellStart"/>
      <w:r>
        <w:rPr>
          <w:rFonts w:ascii="Verdana" w:hAnsi="Verdana"/>
          <w:sz w:val="20"/>
          <w:szCs w:val="20"/>
        </w:rPr>
        <w:t>ovolactovegetariana</w:t>
      </w:r>
      <w:proofErr w:type="spellEnd"/>
      <w:r>
        <w:rPr>
          <w:rFonts w:ascii="Verdana" w:hAnsi="Verdana"/>
          <w:sz w:val="20"/>
          <w:szCs w:val="20"/>
        </w:rPr>
        <w:t xml:space="preserve"> restrita em energia (20), dieta vegetariana estrita (tipo </w:t>
      </w:r>
      <w:proofErr w:type="spellStart"/>
      <w:r>
        <w:rPr>
          <w:rFonts w:ascii="Verdana" w:hAnsi="Verdana"/>
          <w:sz w:val="20"/>
          <w:szCs w:val="20"/>
        </w:rPr>
        <w:t>vegano</w:t>
      </w:r>
      <w:proofErr w:type="spellEnd"/>
      <w:r>
        <w:rPr>
          <w:rFonts w:ascii="Verdana" w:hAnsi="Verdana"/>
          <w:sz w:val="20"/>
          <w:szCs w:val="20"/>
        </w:rPr>
        <w:t>) e com baixo teor de lipídeos (12,27), dieta com alimentos de diferentes IG (</w:t>
      </w:r>
      <w:proofErr w:type="gramStart"/>
      <w:r>
        <w:rPr>
          <w:rFonts w:ascii="Verdana" w:hAnsi="Verdana"/>
          <w:sz w:val="20"/>
          <w:szCs w:val="20"/>
        </w:rPr>
        <w:t>17,</w:t>
      </w:r>
      <w:proofErr w:type="gramEnd"/>
      <w:r>
        <w:rPr>
          <w:rFonts w:ascii="Verdana" w:hAnsi="Verdana"/>
          <w:sz w:val="20"/>
          <w:szCs w:val="20"/>
        </w:rPr>
        <w:t xml:space="preserve">21,26,28,31,35) ou baixa carga glicêmica (CG) (22), dietas com 2 a 4 fontes alimentares de cálcio e fibras (17) ou dieta com óleo vegetal rico em </w:t>
      </w:r>
      <w:proofErr w:type="spellStart"/>
      <w:r>
        <w:rPr>
          <w:rFonts w:ascii="Verdana" w:hAnsi="Verdana"/>
          <w:sz w:val="20"/>
          <w:szCs w:val="20"/>
        </w:rPr>
        <w:t>diacilglicerol</w:t>
      </w:r>
      <w:proofErr w:type="spellEnd"/>
      <w:r>
        <w:rPr>
          <w:rFonts w:ascii="Verdana" w:hAnsi="Verdana"/>
          <w:sz w:val="20"/>
          <w:szCs w:val="20"/>
        </w:rPr>
        <w:t xml:space="preserve"> </w:t>
      </w:r>
      <w:r>
        <w:rPr>
          <w:rFonts w:ascii="Verdana" w:hAnsi="Verdana"/>
          <w:i/>
          <w:iCs/>
          <w:sz w:val="20"/>
          <w:szCs w:val="20"/>
        </w:rPr>
        <w:t xml:space="preserve">ad </w:t>
      </w:r>
      <w:proofErr w:type="spellStart"/>
      <w:r>
        <w:rPr>
          <w:rFonts w:ascii="Verdana" w:hAnsi="Verdana"/>
          <w:i/>
          <w:iCs/>
          <w:sz w:val="20"/>
          <w:szCs w:val="20"/>
        </w:rPr>
        <w:t>libitum</w:t>
      </w:r>
      <w:proofErr w:type="spellEnd"/>
      <w:r>
        <w:rPr>
          <w:rFonts w:ascii="Verdana" w:hAnsi="Verdana"/>
          <w:sz w:val="20"/>
          <w:szCs w:val="20"/>
        </w:rPr>
        <w:t xml:space="preserve"> para o preparo dos alimentos (30). Em um dos estudos, não foi descrita a distribuição de </w:t>
      </w:r>
      <w:proofErr w:type="spellStart"/>
      <w:r>
        <w:rPr>
          <w:rFonts w:ascii="Verdana" w:hAnsi="Verdana"/>
          <w:sz w:val="20"/>
          <w:szCs w:val="20"/>
        </w:rPr>
        <w:t>macronutrientes</w:t>
      </w:r>
      <w:proofErr w:type="spellEnd"/>
      <w:r>
        <w:rPr>
          <w:rFonts w:ascii="Verdana" w:hAnsi="Verdana"/>
          <w:sz w:val="20"/>
          <w:szCs w:val="20"/>
        </w:rPr>
        <w:t xml:space="preserve"> das dietas (20). Das 19 dietas que avaliaram efeito de diferentes fontes alimentares na perda de peso, metade apresentou também restrição energética (17,20-</w:t>
      </w:r>
      <w:proofErr w:type="gramStart"/>
      <w:r>
        <w:rPr>
          <w:rFonts w:ascii="Verdana" w:hAnsi="Verdana"/>
          <w:sz w:val="20"/>
          <w:szCs w:val="20"/>
        </w:rPr>
        <w:t>22,</w:t>
      </w:r>
      <w:proofErr w:type="gramEnd"/>
      <w:r>
        <w:rPr>
          <w:rFonts w:ascii="Verdana" w:hAnsi="Verdana"/>
          <w:sz w:val="20"/>
          <w:szCs w:val="20"/>
        </w:rPr>
        <w:t>26,28).</w:t>
      </w:r>
    </w:p>
    <w:p w:rsidR="00CB39B0" w:rsidRDefault="00CB39B0" w:rsidP="00CB39B0">
      <w:pPr>
        <w:pStyle w:val="NormalWeb"/>
      </w:pPr>
      <w:r>
        <w:rPr>
          <w:rFonts w:ascii="Verdana" w:hAnsi="Verdana"/>
          <w:sz w:val="20"/>
          <w:szCs w:val="20"/>
        </w:rPr>
        <w:t xml:space="preserve">Entre as dietas propostas com baixo teor de lipídeos, algumas também incentivaram o consumo de frutas e vegetais (23) ou frutas, vegetais e grãos (27), com (23) e sem restrição da energia proveniente da dieta (27). O efeito </w:t>
      </w:r>
      <w:proofErr w:type="gramStart"/>
      <w:r>
        <w:rPr>
          <w:rFonts w:ascii="Verdana" w:hAnsi="Verdana"/>
          <w:sz w:val="20"/>
          <w:szCs w:val="20"/>
        </w:rPr>
        <w:t>do padrão alimentar</w:t>
      </w:r>
      <w:proofErr w:type="gramEnd"/>
      <w:r>
        <w:rPr>
          <w:rFonts w:ascii="Verdana" w:hAnsi="Verdana"/>
          <w:sz w:val="20"/>
          <w:szCs w:val="20"/>
        </w:rPr>
        <w:t xml:space="preserve"> tipo mediterrâneo com restrição energética na perda de peso foi avaliado em um estudo (32).</w:t>
      </w:r>
    </w:p>
    <w:p w:rsidR="00CB39B0" w:rsidRDefault="00CB39B0" w:rsidP="00CB39B0">
      <w:pPr>
        <w:pStyle w:val="NormalWeb"/>
      </w:pPr>
      <w:r>
        <w:rPr>
          <w:rFonts w:ascii="Verdana" w:hAnsi="Verdana"/>
          <w:b/>
          <w:bCs/>
          <w:sz w:val="20"/>
          <w:szCs w:val="20"/>
        </w:rPr>
        <w:t>Indivíduos em estudo, seguimento, taxa de abandono e aderência</w:t>
      </w:r>
    </w:p>
    <w:p w:rsidR="00CB39B0" w:rsidRDefault="00CB39B0" w:rsidP="00CB39B0">
      <w:pPr>
        <w:pStyle w:val="NormalWeb"/>
      </w:pPr>
      <w:r>
        <w:rPr>
          <w:rFonts w:ascii="Verdana" w:hAnsi="Verdana"/>
          <w:sz w:val="20"/>
          <w:szCs w:val="20"/>
        </w:rPr>
        <w:lastRenderedPageBreak/>
        <w:t>Oito estudos foram conduzidos somente com participantes do sexo feminino (</w:t>
      </w:r>
      <w:proofErr w:type="gramStart"/>
      <w:r>
        <w:rPr>
          <w:rFonts w:ascii="Verdana" w:hAnsi="Verdana"/>
          <w:sz w:val="20"/>
          <w:szCs w:val="20"/>
        </w:rPr>
        <w:t>18,</w:t>
      </w:r>
      <w:proofErr w:type="gramEnd"/>
      <w:r>
        <w:rPr>
          <w:rFonts w:ascii="Verdana" w:hAnsi="Verdana"/>
          <w:sz w:val="20"/>
          <w:szCs w:val="20"/>
        </w:rPr>
        <w:t>19,23,26,27,29,31,34) e somente um deles incluiu participantes com IMC dentro da faixa de normalidade (26). Apenas três estudos apresentaram tempo de seguimento igual ou superior a dois anos (</w:t>
      </w:r>
      <w:proofErr w:type="gramStart"/>
      <w:r>
        <w:rPr>
          <w:rFonts w:ascii="Verdana" w:hAnsi="Verdana"/>
          <w:sz w:val="20"/>
          <w:szCs w:val="20"/>
        </w:rPr>
        <w:t>14,</w:t>
      </w:r>
      <w:proofErr w:type="gramEnd"/>
      <w:r>
        <w:rPr>
          <w:rFonts w:ascii="Verdana" w:hAnsi="Verdana"/>
          <w:sz w:val="20"/>
          <w:szCs w:val="20"/>
        </w:rPr>
        <w:t xml:space="preserve">32,35) e 14 estudos apresentaram taxa de abandono igual ou superior a 25% em pelo menos um dos tipos de dieta em estudo (12,14-16,18-20,22,23,26,28,29,33,35). Um manuscrito não descreveu as perdas de seguimento do estudo (31) e um ECR não descreveu as perdas por grupo de dieta, mas apenas em relação ao total de pacientes </w:t>
      </w:r>
      <w:proofErr w:type="spellStart"/>
      <w:r>
        <w:rPr>
          <w:rFonts w:ascii="Verdana" w:hAnsi="Verdana"/>
          <w:sz w:val="20"/>
          <w:szCs w:val="20"/>
        </w:rPr>
        <w:t>randomizados</w:t>
      </w:r>
      <w:proofErr w:type="spellEnd"/>
      <w:r>
        <w:rPr>
          <w:rFonts w:ascii="Verdana" w:hAnsi="Verdana"/>
          <w:sz w:val="20"/>
          <w:szCs w:val="20"/>
        </w:rPr>
        <w:t xml:space="preserve"> (15).</w:t>
      </w:r>
    </w:p>
    <w:p w:rsidR="00CB39B0" w:rsidRDefault="00CB39B0" w:rsidP="00CB39B0">
      <w:pPr>
        <w:pStyle w:val="NormalWeb"/>
      </w:pPr>
      <w:r>
        <w:rPr>
          <w:rFonts w:ascii="Verdana" w:hAnsi="Verdana"/>
          <w:sz w:val="20"/>
          <w:szCs w:val="20"/>
        </w:rPr>
        <w:t xml:space="preserve">Os tipos de instrumentos utilizados para avaliação da aderência às dietas foram: </w:t>
      </w:r>
      <w:proofErr w:type="spellStart"/>
      <w:r>
        <w:rPr>
          <w:rFonts w:ascii="Verdana" w:hAnsi="Verdana"/>
          <w:sz w:val="20"/>
          <w:szCs w:val="20"/>
        </w:rPr>
        <w:t>recordatórios</w:t>
      </w:r>
      <w:proofErr w:type="spellEnd"/>
      <w:r>
        <w:rPr>
          <w:rFonts w:ascii="Verdana" w:hAnsi="Verdana"/>
          <w:sz w:val="20"/>
          <w:szCs w:val="20"/>
        </w:rPr>
        <w:t xml:space="preserve"> alimentares de 24 horas aplicados nas consultas ou por telefone ao longo do seguimento do estudo; questionários de </w:t>
      </w:r>
      <w:proofErr w:type="spellStart"/>
      <w:r>
        <w:rPr>
          <w:rFonts w:ascii="Verdana" w:hAnsi="Verdana"/>
          <w:sz w:val="20"/>
          <w:szCs w:val="20"/>
        </w:rPr>
        <w:t>frequência</w:t>
      </w:r>
      <w:proofErr w:type="spellEnd"/>
      <w:r>
        <w:rPr>
          <w:rFonts w:ascii="Verdana" w:hAnsi="Verdana"/>
          <w:sz w:val="20"/>
          <w:szCs w:val="20"/>
        </w:rPr>
        <w:t xml:space="preserve"> alimentar aplicados semestralmente; medidas de gasto energético total através de água duplamente marcada; taxa de metabolismo basal por calorimetria indireta; excreção de </w:t>
      </w:r>
      <w:proofErr w:type="spellStart"/>
      <w:r>
        <w:rPr>
          <w:rFonts w:ascii="Verdana" w:hAnsi="Verdana"/>
          <w:sz w:val="20"/>
          <w:szCs w:val="20"/>
        </w:rPr>
        <w:t>ureia</w:t>
      </w:r>
      <w:proofErr w:type="spellEnd"/>
      <w:r>
        <w:rPr>
          <w:rFonts w:ascii="Verdana" w:hAnsi="Verdana"/>
          <w:sz w:val="20"/>
          <w:szCs w:val="20"/>
        </w:rPr>
        <w:t xml:space="preserve">, </w:t>
      </w:r>
      <w:proofErr w:type="spellStart"/>
      <w:r>
        <w:rPr>
          <w:rFonts w:ascii="Verdana" w:hAnsi="Verdana"/>
          <w:sz w:val="20"/>
          <w:szCs w:val="20"/>
        </w:rPr>
        <w:t>creatinina</w:t>
      </w:r>
      <w:proofErr w:type="spellEnd"/>
      <w:r>
        <w:rPr>
          <w:rFonts w:ascii="Verdana" w:hAnsi="Verdana"/>
          <w:sz w:val="20"/>
          <w:szCs w:val="20"/>
        </w:rPr>
        <w:t xml:space="preserve"> e cetonas urinárias coletadas a cada visita em intervalos de quatro a seis meses; escalas analógicas para </w:t>
      </w:r>
      <w:proofErr w:type="spellStart"/>
      <w:r>
        <w:rPr>
          <w:rFonts w:ascii="Verdana" w:hAnsi="Verdana"/>
          <w:sz w:val="20"/>
          <w:szCs w:val="20"/>
        </w:rPr>
        <w:t>autorrelato</w:t>
      </w:r>
      <w:proofErr w:type="spellEnd"/>
      <w:r>
        <w:rPr>
          <w:rFonts w:ascii="Verdana" w:hAnsi="Verdana"/>
          <w:sz w:val="20"/>
          <w:szCs w:val="20"/>
        </w:rPr>
        <w:t xml:space="preserve"> de saciedade, fome, satisfação à dieta prescrita; questionários específicos sobre comportamento e compulsão alimentar, além do comparecimento às consultas ou encontros agendados.</w:t>
      </w:r>
    </w:p>
    <w:p w:rsidR="00CB39B0" w:rsidRDefault="00CB39B0" w:rsidP="00CB39B0">
      <w:pPr>
        <w:pStyle w:val="NormalWeb"/>
      </w:pPr>
      <w:r>
        <w:rPr>
          <w:rFonts w:ascii="Verdana" w:hAnsi="Verdana"/>
          <w:b/>
          <w:bCs/>
          <w:sz w:val="20"/>
          <w:szCs w:val="20"/>
        </w:rPr>
        <w:t>Métodos de intervenção dietoterápica</w:t>
      </w:r>
    </w:p>
    <w:p w:rsidR="00CB39B0" w:rsidRDefault="00CB39B0" w:rsidP="00CB39B0">
      <w:pPr>
        <w:pStyle w:val="NormalWeb"/>
      </w:pPr>
      <w:r>
        <w:rPr>
          <w:rFonts w:ascii="Verdana" w:hAnsi="Verdana"/>
          <w:sz w:val="20"/>
          <w:szCs w:val="20"/>
        </w:rPr>
        <w:t>Em todos os estudos incluídos na presente revisão, as dietas foram orientadas por nutricionistas, utilizando-se diversos tipos de materiais (</w:t>
      </w:r>
      <w:r>
        <w:rPr>
          <w:rFonts w:ascii="Verdana" w:hAnsi="Verdana"/>
          <w:i/>
          <w:iCs/>
          <w:sz w:val="20"/>
          <w:szCs w:val="20"/>
        </w:rPr>
        <w:t>folders</w:t>
      </w:r>
      <w:r>
        <w:rPr>
          <w:rFonts w:ascii="Verdana" w:hAnsi="Verdana"/>
          <w:sz w:val="20"/>
          <w:szCs w:val="20"/>
        </w:rPr>
        <w:t xml:space="preserve">, livros, acesso a </w:t>
      </w:r>
      <w:r>
        <w:rPr>
          <w:rFonts w:ascii="Verdana" w:hAnsi="Verdana"/>
          <w:i/>
          <w:iCs/>
          <w:sz w:val="20"/>
          <w:szCs w:val="20"/>
        </w:rPr>
        <w:t>sites</w:t>
      </w:r>
      <w:r>
        <w:rPr>
          <w:rFonts w:ascii="Verdana" w:hAnsi="Verdana"/>
          <w:sz w:val="20"/>
          <w:szCs w:val="20"/>
        </w:rPr>
        <w:t xml:space="preserve"> na internet específicos, manuais) para orientação dos participantes quanto à dieta proposta, além de abordagem sobre comportamento </w:t>
      </w:r>
      <w:proofErr w:type="gramStart"/>
      <w:r>
        <w:rPr>
          <w:rFonts w:ascii="Verdana" w:hAnsi="Verdana"/>
          <w:sz w:val="20"/>
          <w:szCs w:val="20"/>
        </w:rPr>
        <w:t>alimentar,</w:t>
      </w:r>
      <w:proofErr w:type="gramEnd"/>
      <w:r>
        <w:rPr>
          <w:rFonts w:ascii="Verdana" w:hAnsi="Verdana"/>
          <w:sz w:val="20"/>
          <w:szCs w:val="20"/>
        </w:rPr>
        <w:t xml:space="preserve"> sugestão de receitas, modo de preparo dos alimentos e lista de alimentos permitidos e restritos. Em 13 estudos foram realizadas atividades de educação nutricional com equipe multidisciplinar. Os encontros, com 10 a 20 participantes, ocorreram com periodicidade variada - sessões semanais ou até bimestrais (14,19-</w:t>
      </w:r>
      <w:proofErr w:type="gramStart"/>
      <w:r>
        <w:rPr>
          <w:rFonts w:ascii="Verdana" w:hAnsi="Verdana"/>
          <w:sz w:val="20"/>
          <w:szCs w:val="20"/>
        </w:rPr>
        <w:t>24,</w:t>
      </w:r>
      <w:proofErr w:type="gramEnd"/>
      <w:r>
        <w:rPr>
          <w:rFonts w:ascii="Verdana" w:hAnsi="Verdana"/>
          <w:sz w:val="20"/>
          <w:szCs w:val="20"/>
        </w:rPr>
        <w:t>28,31,32,34,35) - e foram realizados a intervalos de tempo menores no início das intervenções. Além de esclarecimentos sobre a dieta proposta, foram realizadas abordagens sobre comportamento alimentar (21-</w:t>
      </w:r>
      <w:proofErr w:type="gramStart"/>
      <w:r>
        <w:rPr>
          <w:rFonts w:ascii="Verdana" w:hAnsi="Verdana"/>
          <w:sz w:val="20"/>
          <w:szCs w:val="20"/>
        </w:rPr>
        <w:t>24,</w:t>
      </w:r>
      <w:proofErr w:type="gramEnd"/>
      <w:r>
        <w:rPr>
          <w:rFonts w:ascii="Verdana" w:hAnsi="Verdana"/>
          <w:sz w:val="20"/>
          <w:szCs w:val="20"/>
        </w:rPr>
        <w:t>28,31,32,34,35) baseadas na terapia cognitivo-comportamental (28) e oficinas culinárias (20,31). Somente três estudos forneceram alimentos (21,30) ou refeições aos participantes (32). Em três estudos os participantes receberam incentivos financeiros (</w:t>
      </w:r>
      <w:proofErr w:type="gramStart"/>
      <w:r>
        <w:rPr>
          <w:rFonts w:ascii="Verdana" w:hAnsi="Verdana"/>
          <w:sz w:val="20"/>
          <w:szCs w:val="20"/>
        </w:rPr>
        <w:t>19,</w:t>
      </w:r>
      <w:proofErr w:type="gramEnd"/>
      <w:r>
        <w:rPr>
          <w:rFonts w:ascii="Verdana" w:hAnsi="Verdana"/>
          <w:sz w:val="20"/>
          <w:szCs w:val="20"/>
        </w:rPr>
        <w:t>22,24). Estímulo formal para a prática de atividade física foi descrito em dez estudos (16-</w:t>
      </w:r>
      <w:proofErr w:type="gramStart"/>
      <w:r>
        <w:rPr>
          <w:rFonts w:ascii="Verdana" w:hAnsi="Verdana"/>
          <w:sz w:val="20"/>
          <w:szCs w:val="20"/>
        </w:rPr>
        <w:t>18,</w:t>
      </w:r>
      <w:proofErr w:type="gramEnd"/>
      <w:r>
        <w:rPr>
          <w:rFonts w:ascii="Verdana" w:hAnsi="Verdana"/>
          <w:sz w:val="20"/>
          <w:szCs w:val="20"/>
        </w:rPr>
        <w:t>20,23,24,28,31,34,35).</w:t>
      </w:r>
    </w:p>
    <w:p w:rsidR="00CB39B0" w:rsidRDefault="00CB39B0" w:rsidP="00CB39B0">
      <w:pPr>
        <w:pStyle w:val="NormalWeb"/>
      </w:pPr>
      <w:r>
        <w:rPr>
          <w:rFonts w:ascii="Verdana" w:hAnsi="Verdana"/>
          <w:b/>
          <w:bCs/>
          <w:sz w:val="20"/>
          <w:szCs w:val="20"/>
        </w:rPr>
        <w:t>Perda ponderal</w:t>
      </w:r>
    </w:p>
    <w:p w:rsidR="00CB39B0" w:rsidRDefault="00CB39B0" w:rsidP="00CB39B0">
      <w:pPr>
        <w:pStyle w:val="NormalWeb"/>
      </w:pPr>
      <w:r>
        <w:rPr>
          <w:rFonts w:ascii="Verdana" w:hAnsi="Verdana"/>
          <w:sz w:val="20"/>
          <w:szCs w:val="20"/>
        </w:rPr>
        <w:t>A perda ponderal obtida nas dietas ao final dos estudos variou de 0,38% a 10,5% do peso inicial dos participantes. A perda ponderal de pelo menos 5% após o seguimento de pelo menos um tipo de dieta proposta foi observada em 17 dos 23 estudos (14,16-25,27-29,32-34), sendo 11 desses estudos com restrição energética (</w:t>
      </w:r>
      <w:proofErr w:type="gramStart"/>
      <w:r>
        <w:rPr>
          <w:rFonts w:ascii="Verdana" w:hAnsi="Verdana"/>
          <w:sz w:val="20"/>
          <w:szCs w:val="20"/>
        </w:rPr>
        <w:t>16,</w:t>
      </w:r>
      <w:proofErr w:type="gramEnd"/>
      <w:r>
        <w:rPr>
          <w:rFonts w:ascii="Verdana" w:hAnsi="Verdana"/>
          <w:sz w:val="20"/>
          <w:szCs w:val="20"/>
        </w:rPr>
        <w:t xml:space="preserve">17,19-21,25,28,29,32-34). Em pacientes obesos, as dietas ricas em ácidos graxos </w:t>
      </w:r>
      <w:proofErr w:type="gramStart"/>
      <w:r>
        <w:rPr>
          <w:rFonts w:ascii="Verdana" w:hAnsi="Verdana"/>
          <w:sz w:val="20"/>
          <w:szCs w:val="20"/>
        </w:rPr>
        <w:t>monoinsaturados e com restrição moderada</w:t>
      </w:r>
      <w:proofErr w:type="gramEnd"/>
      <w:r>
        <w:rPr>
          <w:rFonts w:ascii="Verdana" w:hAnsi="Verdana"/>
          <w:sz w:val="20"/>
          <w:szCs w:val="20"/>
        </w:rPr>
        <w:t xml:space="preserve"> a intensa de carboidratos apresentaram maior perda ponderal nos indivíduos hiperinsulinêmicos (valores de insulina em jejum &gt; 15 </w:t>
      </w:r>
      <w:proofErr w:type="spellStart"/>
      <w:r>
        <w:rPr>
          <w:sz w:val="20"/>
          <w:szCs w:val="20"/>
        </w:rPr>
        <w:t>μ</w:t>
      </w:r>
      <w:r>
        <w:rPr>
          <w:rFonts w:ascii="Verdana" w:hAnsi="Verdana"/>
          <w:sz w:val="20"/>
          <w:szCs w:val="20"/>
        </w:rPr>
        <w:t>IU</w:t>
      </w:r>
      <w:proofErr w:type="spellEnd"/>
      <w:r>
        <w:rPr>
          <w:rFonts w:ascii="Verdana" w:hAnsi="Verdana"/>
          <w:sz w:val="20"/>
          <w:szCs w:val="20"/>
        </w:rPr>
        <w:t xml:space="preserve">/L) (25). A adoção de dieta </w:t>
      </w:r>
      <w:r>
        <w:rPr>
          <w:rFonts w:ascii="Verdana" w:hAnsi="Verdana"/>
          <w:i/>
          <w:iCs/>
          <w:sz w:val="20"/>
          <w:szCs w:val="20"/>
        </w:rPr>
        <w:t xml:space="preserve">ad </w:t>
      </w:r>
      <w:proofErr w:type="spellStart"/>
      <w:r>
        <w:rPr>
          <w:rFonts w:ascii="Verdana" w:hAnsi="Verdana"/>
          <w:i/>
          <w:iCs/>
          <w:sz w:val="20"/>
          <w:szCs w:val="20"/>
        </w:rPr>
        <w:t>libitum</w:t>
      </w:r>
      <w:proofErr w:type="spellEnd"/>
      <w:r>
        <w:rPr>
          <w:rFonts w:ascii="Verdana" w:hAnsi="Verdana"/>
          <w:sz w:val="20"/>
          <w:szCs w:val="20"/>
        </w:rPr>
        <w:t xml:space="preserve"> com </w:t>
      </w:r>
      <w:proofErr w:type="gramStart"/>
      <w:r>
        <w:rPr>
          <w:rFonts w:ascii="Verdana" w:hAnsi="Verdana"/>
          <w:sz w:val="20"/>
          <w:szCs w:val="20"/>
        </w:rPr>
        <w:t>baixa CG</w:t>
      </w:r>
      <w:proofErr w:type="gramEnd"/>
      <w:r>
        <w:rPr>
          <w:rFonts w:ascii="Verdana" w:hAnsi="Verdana"/>
          <w:sz w:val="20"/>
          <w:szCs w:val="20"/>
        </w:rPr>
        <w:t xml:space="preserve"> também apresentou melhor efeito em indivíduos obesos na presença de maior resposta hiperinsulinêmica em teste de tolerância oral à glicose (TOTG; valores de insulina &gt; 150 </w:t>
      </w:r>
      <w:proofErr w:type="spellStart"/>
      <w:r>
        <w:rPr>
          <w:sz w:val="20"/>
          <w:szCs w:val="20"/>
        </w:rPr>
        <w:t>μ</w:t>
      </w:r>
      <w:r>
        <w:rPr>
          <w:rFonts w:ascii="Verdana" w:hAnsi="Verdana"/>
          <w:sz w:val="20"/>
          <w:szCs w:val="20"/>
        </w:rPr>
        <w:t>IU</w:t>
      </w:r>
      <w:proofErr w:type="spellEnd"/>
      <w:r>
        <w:rPr>
          <w:rFonts w:ascii="Verdana" w:hAnsi="Verdana"/>
          <w:sz w:val="20"/>
          <w:szCs w:val="20"/>
        </w:rPr>
        <w:t xml:space="preserve">/L, 30 minutos após teste) quando comparada à dieta restrita em lipídeos (22). Em mulheres com excesso de peso e menor escore de sensibilidade à ação da insulina (&lt; 6,3 G </w:t>
      </w:r>
      <w:proofErr w:type="spellStart"/>
      <w:proofErr w:type="gramStart"/>
      <w:r>
        <w:rPr>
          <w:rFonts w:ascii="Verdana" w:hAnsi="Verdana"/>
          <w:sz w:val="20"/>
          <w:szCs w:val="20"/>
        </w:rPr>
        <w:t>mIU</w:t>
      </w:r>
      <w:proofErr w:type="spellEnd"/>
      <w:proofErr w:type="gramEnd"/>
      <w:r>
        <w:rPr>
          <w:rFonts w:ascii="Verdana" w:hAnsi="Verdana"/>
          <w:sz w:val="20"/>
          <w:szCs w:val="20"/>
          <w:vertAlign w:val="superscript"/>
        </w:rPr>
        <w:t>-1</w:t>
      </w:r>
      <w:r>
        <w:rPr>
          <w:rFonts w:ascii="Verdana" w:hAnsi="Verdana"/>
          <w:sz w:val="20"/>
          <w:szCs w:val="20"/>
        </w:rPr>
        <w:t>l</w:t>
      </w:r>
      <w:r>
        <w:rPr>
          <w:rFonts w:ascii="Verdana" w:hAnsi="Verdana"/>
          <w:sz w:val="20"/>
          <w:szCs w:val="20"/>
          <w:vertAlign w:val="superscript"/>
        </w:rPr>
        <w:t>-1</w:t>
      </w:r>
      <w:r>
        <w:rPr>
          <w:rFonts w:ascii="Verdana" w:hAnsi="Verdana"/>
          <w:sz w:val="20"/>
          <w:szCs w:val="20"/>
        </w:rPr>
        <w:t xml:space="preserve"> após TOTG), a adoção de dietas com restrição moderada (40% da energia) ou intensa (&lt; 50 g/dia) de carboidratos promoveu maior perda ponderal do que a dieta controle (18).</w:t>
      </w:r>
    </w:p>
    <w:p w:rsidR="00CB39B0" w:rsidRDefault="00CB39B0" w:rsidP="00CB39B0">
      <w:pPr>
        <w:pStyle w:val="NormalWeb"/>
      </w:pPr>
      <w:r>
        <w:rPr>
          <w:rFonts w:ascii="Verdana" w:hAnsi="Verdana"/>
          <w:b/>
          <w:bCs/>
          <w:sz w:val="20"/>
          <w:szCs w:val="20"/>
        </w:rPr>
        <w:t xml:space="preserve">Perda ponderal adequada, restrição energética e </w:t>
      </w:r>
      <w:proofErr w:type="spellStart"/>
      <w:r>
        <w:rPr>
          <w:rFonts w:ascii="Verdana" w:hAnsi="Verdana"/>
          <w:b/>
          <w:bCs/>
          <w:sz w:val="20"/>
          <w:szCs w:val="20"/>
        </w:rPr>
        <w:t>macronutrientes</w:t>
      </w:r>
      <w:proofErr w:type="spellEnd"/>
    </w:p>
    <w:p w:rsidR="00CB39B0" w:rsidRDefault="00CB39B0" w:rsidP="00CB39B0">
      <w:pPr>
        <w:pStyle w:val="NormalWeb"/>
      </w:pPr>
      <w:r>
        <w:rPr>
          <w:rFonts w:ascii="Verdana" w:hAnsi="Verdana"/>
          <w:sz w:val="20"/>
          <w:szCs w:val="20"/>
        </w:rPr>
        <w:t xml:space="preserve">A importância da composição e tipo de </w:t>
      </w:r>
      <w:proofErr w:type="spellStart"/>
      <w:r>
        <w:rPr>
          <w:rFonts w:ascii="Verdana" w:hAnsi="Verdana"/>
          <w:sz w:val="20"/>
          <w:szCs w:val="20"/>
        </w:rPr>
        <w:t>macronutrientes</w:t>
      </w:r>
      <w:proofErr w:type="spellEnd"/>
      <w:r>
        <w:rPr>
          <w:rFonts w:ascii="Verdana" w:hAnsi="Verdana"/>
          <w:sz w:val="20"/>
          <w:szCs w:val="20"/>
        </w:rPr>
        <w:t xml:space="preserve"> e/ou de alimentos específicos na perda de peso em dietas de emagrecimento foi avaliada em dietas com restrição de energia diária e cuja perda ponderal foi considerada adequada: perda ponderal &gt; 5% (</w:t>
      </w:r>
      <w:proofErr w:type="gramStart"/>
      <w:r>
        <w:rPr>
          <w:rFonts w:ascii="Verdana" w:hAnsi="Verdana"/>
          <w:sz w:val="20"/>
          <w:szCs w:val="20"/>
        </w:rPr>
        <w:t>16,</w:t>
      </w:r>
      <w:proofErr w:type="gramEnd"/>
      <w:r>
        <w:rPr>
          <w:rFonts w:ascii="Verdana" w:hAnsi="Verdana"/>
          <w:sz w:val="20"/>
          <w:szCs w:val="20"/>
        </w:rPr>
        <w:t>17,19-21,23,28,29,32-34). Dos seis estudos (</w:t>
      </w:r>
      <w:proofErr w:type="gramStart"/>
      <w:r>
        <w:rPr>
          <w:rFonts w:ascii="Verdana" w:hAnsi="Verdana"/>
          <w:sz w:val="20"/>
          <w:szCs w:val="20"/>
        </w:rPr>
        <w:t>17,</w:t>
      </w:r>
      <w:proofErr w:type="gramEnd"/>
      <w:r>
        <w:rPr>
          <w:rFonts w:ascii="Verdana" w:hAnsi="Verdana"/>
          <w:sz w:val="20"/>
          <w:szCs w:val="20"/>
        </w:rPr>
        <w:t xml:space="preserve">19,21,23,29,34) com menor número de pacientes (&lt; 100 pacientes), quatro deles (17,19,21,29,) tiveram resultados negativos ao comparar dietas com diferentes proporções de </w:t>
      </w:r>
      <w:proofErr w:type="spellStart"/>
      <w:r>
        <w:rPr>
          <w:rFonts w:ascii="Verdana" w:hAnsi="Verdana"/>
          <w:sz w:val="20"/>
          <w:szCs w:val="20"/>
        </w:rPr>
        <w:t>macronutrientes</w:t>
      </w:r>
      <w:proofErr w:type="spellEnd"/>
      <w:r>
        <w:rPr>
          <w:rFonts w:ascii="Verdana" w:hAnsi="Verdana"/>
          <w:sz w:val="20"/>
          <w:szCs w:val="20"/>
        </w:rPr>
        <w:t xml:space="preserve"> (19,21,29,33) ou ao promover o incremento no consumo de fontes alimentares de cálcio, fibras e carboidratos com baixo IG (17). Diferenças significativas entre as dietas foram descritas em apenas dois ECR (23,34). Em um pequeno grupo de mulheres com mais de 65 anos, a adoção de uma dieta prudente com restrição de 500 a 750 kcal/dia promoveu redução de 10% do peso inicial quando comparada a uma dieta habitual (34). Além disso, o incremento no consumo de frutas e vegetais em uma dieta com baixo teor de lipídeos foi capaz de aumentar de -7,1 para -8,7% a perda ponderal em 97 mulheres adultas (23).</w:t>
      </w:r>
    </w:p>
    <w:p w:rsidR="00CB39B0" w:rsidRDefault="00CB39B0" w:rsidP="00CB39B0">
      <w:pPr>
        <w:pStyle w:val="NormalWeb"/>
      </w:pPr>
      <w:r>
        <w:rPr>
          <w:rFonts w:ascii="Verdana" w:hAnsi="Verdana"/>
          <w:sz w:val="20"/>
          <w:szCs w:val="20"/>
        </w:rPr>
        <w:lastRenderedPageBreak/>
        <w:t>Ao observar os estudos com grande número de pacientes (</w:t>
      </w:r>
      <w:proofErr w:type="gramStart"/>
      <w:r>
        <w:rPr>
          <w:rFonts w:ascii="Verdana" w:hAnsi="Verdana"/>
          <w:sz w:val="20"/>
          <w:szCs w:val="20"/>
        </w:rPr>
        <w:t>16,</w:t>
      </w:r>
      <w:proofErr w:type="gramEnd"/>
      <w:r>
        <w:rPr>
          <w:rFonts w:ascii="Verdana" w:hAnsi="Verdana"/>
          <w:sz w:val="20"/>
          <w:szCs w:val="20"/>
        </w:rPr>
        <w:t>20,28,32,33,35), embora as dietas não tenham sido as mesmas, na maioria deles (20,28,33,35) não foi encontrada diferença na perda ponderal resultante da modificação na composição das dietas (</w:t>
      </w:r>
      <w:proofErr w:type="spellStart"/>
      <w:r>
        <w:rPr>
          <w:rFonts w:ascii="Verdana" w:hAnsi="Verdana"/>
          <w:sz w:val="20"/>
          <w:szCs w:val="20"/>
        </w:rPr>
        <w:t>macronutrientes</w:t>
      </w:r>
      <w:proofErr w:type="spellEnd"/>
      <w:r>
        <w:rPr>
          <w:rFonts w:ascii="Verdana" w:hAnsi="Verdana"/>
          <w:sz w:val="20"/>
          <w:szCs w:val="20"/>
        </w:rPr>
        <w:t xml:space="preserve"> ou alimentos). Em apenas dois estudos (16,32), a substituição de refeições por sopas/lanche ou a modificação dos componentes da dieta resultou em diferente perda ponderal entre as dietas. A substituição de duas refeições por sopas em uma dieta prudente foi capaz de promover maior perda de peso quando comparada à substituição por dois lanches de mesma quantidade energética por porção (~100 kcal) (16). As dietas restritas em carboidratos e do tipo mediterrâneo foram </w:t>
      </w:r>
      <w:proofErr w:type="gramStart"/>
      <w:r>
        <w:rPr>
          <w:rFonts w:ascii="Verdana" w:hAnsi="Verdana"/>
          <w:sz w:val="20"/>
          <w:szCs w:val="20"/>
        </w:rPr>
        <w:t>as</w:t>
      </w:r>
      <w:proofErr w:type="gramEnd"/>
      <w:r>
        <w:rPr>
          <w:rFonts w:ascii="Verdana" w:hAnsi="Verdana"/>
          <w:sz w:val="20"/>
          <w:szCs w:val="20"/>
        </w:rPr>
        <w:t xml:space="preserve"> intervenções com as quais ocorreu maior perda de peso quando comparadas a uma dieta prudente (32).</w:t>
      </w:r>
    </w:p>
    <w:p w:rsidR="00CB39B0" w:rsidRDefault="00CB39B0" w:rsidP="00CB39B0">
      <w:pPr>
        <w:pStyle w:val="NormalWeb"/>
      </w:pPr>
      <w:r>
        <w:t> </w:t>
      </w:r>
    </w:p>
    <w:p w:rsidR="00CB39B0" w:rsidRDefault="00CB39B0" w:rsidP="00CB39B0">
      <w:pPr>
        <w:pStyle w:val="NormalWeb"/>
      </w:pPr>
      <w:r>
        <w:rPr>
          <w:rFonts w:ascii="Verdana" w:hAnsi="Verdana"/>
          <w:b/>
          <w:bCs/>
        </w:rPr>
        <w:t>DISCUSSÃO</w:t>
      </w:r>
    </w:p>
    <w:p w:rsidR="00CB39B0" w:rsidRDefault="00CB39B0" w:rsidP="00CB39B0">
      <w:pPr>
        <w:pStyle w:val="NormalWeb"/>
      </w:pPr>
      <w:r>
        <w:rPr>
          <w:rFonts w:ascii="Verdana" w:hAnsi="Verdana"/>
          <w:sz w:val="20"/>
          <w:szCs w:val="20"/>
        </w:rPr>
        <w:t xml:space="preserve">A presente revisão sistemática demonstrou que, em dietas para emagrecimento para adultos, a modificação nos componentes da dieta resultou em discreta perda ponderal, sendo a perda de peso geralmente </w:t>
      </w:r>
      <w:proofErr w:type="spellStart"/>
      <w:r>
        <w:rPr>
          <w:rFonts w:ascii="Verdana" w:hAnsi="Verdana"/>
          <w:sz w:val="20"/>
          <w:szCs w:val="20"/>
        </w:rPr>
        <w:t>consequente</w:t>
      </w:r>
      <w:proofErr w:type="spellEnd"/>
      <w:r>
        <w:rPr>
          <w:rFonts w:ascii="Verdana" w:hAnsi="Verdana"/>
          <w:sz w:val="20"/>
          <w:szCs w:val="20"/>
        </w:rPr>
        <w:t xml:space="preserve"> à restrição energética e não à modificação dos componentes da dieta. Entre as modificações nos componentes da dieta, os resultados mais promissores parecem estar relacionados à restrição de carboidratos e ao seguimento de uma dieta do tipo mediterrânea.</w:t>
      </w:r>
    </w:p>
    <w:p w:rsidR="00CB39B0" w:rsidRDefault="00CB39B0" w:rsidP="00CB39B0">
      <w:pPr>
        <w:pStyle w:val="NormalWeb"/>
      </w:pPr>
      <w:r>
        <w:rPr>
          <w:rFonts w:ascii="Verdana" w:hAnsi="Verdana"/>
          <w:sz w:val="20"/>
          <w:szCs w:val="20"/>
        </w:rPr>
        <w:t xml:space="preserve">A importância da restrição energética confirma dados já descritos por outros autores (37). Entre os ensaios clínicos incluídos nesta revisão, a perda ponderal de pelo menos 5% do peso inicial foi obtida nas dietas com algum tipo de restrição no total de energia ingerida ao longo do dia, independentemente da composição de </w:t>
      </w:r>
      <w:proofErr w:type="spellStart"/>
      <w:r>
        <w:rPr>
          <w:rFonts w:ascii="Verdana" w:hAnsi="Verdana"/>
          <w:sz w:val="20"/>
          <w:szCs w:val="20"/>
        </w:rPr>
        <w:t>macronutrientes</w:t>
      </w:r>
      <w:proofErr w:type="spellEnd"/>
      <w:r>
        <w:rPr>
          <w:rFonts w:ascii="Verdana" w:hAnsi="Verdana"/>
          <w:sz w:val="20"/>
          <w:szCs w:val="20"/>
        </w:rPr>
        <w:t xml:space="preserve"> (</w:t>
      </w:r>
      <w:proofErr w:type="gramStart"/>
      <w:r>
        <w:rPr>
          <w:rFonts w:ascii="Verdana" w:hAnsi="Verdana"/>
          <w:sz w:val="20"/>
          <w:szCs w:val="20"/>
        </w:rPr>
        <w:t>16,</w:t>
      </w:r>
      <w:proofErr w:type="gramEnd"/>
      <w:r>
        <w:rPr>
          <w:rFonts w:ascii="Verdana" w:hAnsi="Verdana"/>
          <w:sz w:val="20"/>
          <w:szCs w:val="20"/>
        </w:rPr>
        <w:t>17,19-21,25,28,29,32-34). A escolha do ponto de corte de 5% para definir perda ponderal adequada foi feita com base na observação de que a diminuição de peso a partir de 5% do peso inicial já é capaz de reduzir fatores de risco cardiovasculares relacionados à presença de obesidade, tais como hipertensão arterial e diabetes (12).</w:t>
      </w:r>
    </w:p>
    <w:p w:rsidR="00CB39B0" w:rsidRDefault="00CB39B0" w:rsidP="00CB39B0">
      <w:pPr>
        <w:pStyle w:val="NormalWeb"/>
      </w:pPr>
      <w:r>
        <w:rPr>
          <w:rFonts w:ascii="Verdana" w:hAnsi="Verdana"/>
          <w:sz w:val="20"/>
          <w:szCs w:val="20"/>
        </w:rPr>
        <w:t xml:space="preserve">Em relação às dietas restritas em carboidratos e ricas em proteínas e lipídeos, dois estudos (24,32) reforçaram os achados de uma </w:t>
      </w:r>
      <w:proofErr w:type="spellStart"/>
      <w:r>
        <w:rPr>
          <w:rFonts w:ascii="Verdana" w:hAnsi="Verdana"/>
          <w:sz w:val="20"/>
          <w:szCs w:val="20"/>
        </w:rPr>
        <w:t>metanálise</w:t>
      </w:r>
      <w:proofErr w:type="spellEnd"/>
      <w:r>
        <w:rPr>
          <w:rFonts w:ascii="Verdana" w:hAnsi="Verdana"/>
          <w:sz w:val="20"/>
          <w:szCs w:val="20"/>
        </w:rPr>
        <w:t xml:space="preserve"> de cinco ECR envolvendo 447 indivíduos, publicada em 2006 (37). Nessa </w:t>
      </w:r>
      <w:proofErr w:type="spellStart"/>
      <w:r>
        <w:rPr>
          <w:rFonts w:ascii="Verdana" w:hAnsi="Verdana"/>
          <w:sz w:val="20"/>
          <w:szCs w:val="20"/>
        </w:rPr>
        <w:t>metanálise</w:t>
      </w:r>
      <w:proofErr w:type="spellEnd"/>
      <w:r>
        <w:rPr>
          <w:rFonts w:ascii="Verdana" w:hAnsi="Verdana"/>
          <w:sz w:val="20"/>
          <w:szCs w:val="20"/>
        </w:rPr>
        <w:t>, na qual a maioria dos estudos teve seis meses de duração, também se demonstrou que uma dieta com baixo teor de carboidratos poderia ser uma alternativa à dieta com baixo teor de lipídeos por promover maior perda ponderal e efeitos metabólicos desejáveis.</w:t>
      </w:r>
    </w:p>
    <w:p w:rsidR="00CB39B0" w:rsidRDefault="00CB39B0" w:rsidP="00CB39B0">
      <w:pPr>
        <w:pStyle w:val="NormalWeb"/>
      </w:pPr>
      <w:r>
        <w:rPr>
          <w:rFonts w:ascii="Verdana" w:hAnsi="Verdana"/>
          <w:sz w:val="20"/>
          <w:szCs w:val="20"/>
        </w:rPr>
        <w:t>Recentemente, um estudo (32) demonstrou maior perda ponderal após dois anos de seguimento de dietas restritas em carboidratos ou do tipo mediterrânea com restrição energética quando comparadas a uma dieta prudente também com restrição energética. Nesse estudo, apesar de somente na dieta restrita em carboidratos não ter sido prescrita restrição energética formal, não foram observadas diferenças entre as ingestões diárias de energia relatadas entre os pacientes dos três grupos de dietas. Essa observação demonstra uma vantagem da dieta pobre em carboidratos em relação às demais, sugerindo que talvez não seja necessária a restrição energética.</w:t>
      </w:r>
    </w:p>
    <w:p w:rsidR="00CB39B0" w:rsidRDefault="00CB39B0" w:rsidP="00CB39B0">
      <w:pPr>
        <w:pStyle w:val="NormalWeb"/>
      </w:pPr>
      <w:r>
        <w:rPr>
          <w:rFonts w:ascii="Verdana" w:hAnsi="Verdana"/>
          <w:sz w:val="20"/>
          <w:szCs w:val="20"/>
        </w:rPr>
        <w:t xml:space="preserve">Contudo, deve ser lembrado que muitos indivíduos não conseguem seguir uma dieta com restrição de carboidratos, possivelmente pelas preferências alimentares. De fato, já foi demonstrado (12) que a chance de o indivíduo </w:t>
      </w:r>
      <w:proofErr w:type="spellStart"/>
      <w:r>
        <w:rPr>
          <w:rFonts w:ascii="Verdana" w:hAnsi="Verdana"/>
          <w:sz w:val="20"/>
          <w:szCs w:val="20"/>
        </w:rPr>
        <w:t>randomizado</w:t>
      </w:r>
      <w:proofErr w:type="spellEnd"/>
      <w:r>
        <w:rPr>
          <w:rFonts w:ascii="Verdana" w:hAnsi="Verdana"/>
          <w:sz w:val="20"/>
          <w:szCs w:val="20"/>
        </w:rPr>
        <w:t xml:space="preserve"> para uma dieta restrita em carboidratos não completar o estudo foi de 80% [Razão de Chances (RC) = 1,8 (IC 95% 1,2-2,6)] quando comparados aos seguidores de uma dieta com baixo teor de lipídeos. O abandono da dieta pobre em carboidratos ocorreu nos primeiros seis meses de seguimento, sendo que em 12 meses essa diferença deixou de ser significativa: RC 1,4 (IC 95% 0,9-2,3) (12), ou seja, ou o indivíduo adere à dieta ou desiste precocemente dela.</w:t>
      </w:r>
    </w:p>
    <w:p w:rsidR="00CB39B0" w:rsidRDefault="00CB39B0" w:rsidP="00CB39B0">
      <w:pPr>
        <w:pStyle w:val="NormalWeb"/>
      </w:pPr>
      <w:r>
        <w:rPr>
          <w:rFonts w:ascii="Verdana" w:hAnsi="Verdana"/>
          <w:sz w:val="20"/>
          <w:szCs w:val="20"/>
        </w:rPr>
        <w:t>A maioria dos estudos que avaliaram dietas com baixo IG ou CG falhou em mostrar efeitos benéficos dessas dietas na perda de peso em longo prazo (</w:t>
      </w:r>
      <w:proofErr w:type="gramStart"/>
      <w:r>
        <w:rPr>
          <w:rFonts w:ascii="Verdana" w:hAnsi="Verdana"/>
          <w:sz w:val="20"/>
          <w:szCs w:val="20"/>
        </w:rPr>
        <w:t>21,</w:t>
      </w:r>
      <w:proofErr w:type="gramEnd"/>
      <w:r>
        <w:rPr>
          <w:rFonts w:ascii="Verdana" w:hAnsi="Verdana"/>
          <w:sz w:val="20"/>
          <w:szCs w:val="20"/>
        </w:rPr>
        <w:t xml:space="preserve">22,26,31). Porém, as perdas de seguimento foram elevadas (26), a comparação de dietas que não diferiram apenas no IG, a perda de peso como desfecho secundário (31) e as diferenças na forma de prescrever e nos valores de IG das dietas entre os estudos podem ter contribuído para esses resultados negativos. Apenas um estudo que estratificou os participantes de acordo com o grau de </w:t>
      </w:r>
      <w:proofErr w:type="spellStart"/>
      <w:r>
        <w:rPr>
          <w:rFonts w:ascii="Verdana" w:hAnsi="Verdana"/>
          <w:sz w:val="20"/>
          <w:szCs w:val="20"/>
        </w:rPr>
        <w:t>insulinemia</w:t>
      </w:r>
      <w:proofErr w:type="spellEnd"/>
      <w:r>
        <w:rPr>
          <w:rFonts w:ascii="Verdana" w:hAnsi="Verdana"/>
          <w:sz w:val="20"/>
          <w:szCs w:val="20"/>
        </w:rPr>
        <w:t xml:space="preserve"> demonstrou maior perda de peso pelos pacientes com valores maiores de </w:t>
      </w:r>
      <w:proofErr w:type="spellStart"/>
      <w:r>
        <w:rPr>
          <w:rFonts w:ascii="Verdana" w:hAnsi="Verdana"/>
          <w:sz w:val="20"/>
          <w:szCs w:val="20"/>
        </w:rPr>
        <w:t>insulinemia</w:t>
      </w:r>
      <w:proofErr w:type="spellEnd"/>
      <w:r>
        <w:rPr>
          <w:rFonts w:ascii="Verdana" w:hAnsi="Verdana"/>
          <w:sz w:val="20"/>
          <w:szCs w:val="20"/>
        </w:rPr>
        <w:t xml:space="preserve"> que adotaram a dieta de </w:t>
      </w:r>
      <w:proofErr w:type="gramStart"/>
      <w:r>
        <w:rPr>
          <w:rFonts w:ascii="Verdana" w:hAnsi="Verdana"/>
          <w:sz w:val="20"/>
          <w:szCs w:val="20"/>
        </w:rPr>
        <w:t>baixa CG</w:t>
      </w:r>
      <w:proofErr w:type="gramEnd"/>
      <w:r>
        <w:rPr>
          <w:rFonts w:ascii="Verdana" w:hAnsi="Verdana"/>
          <w:sz w:val="20"/>
          <w:szCs w:val="20"/>
        </w:rPr>
        <w:t xml:space="preserve"> em comparação à dieta com restrição de gordura, sugerindo uma interação entre dieta e fenótipo envolvendo a secreção de insulina (22).</w:t>
      </w:r>
    </w:p>
    <w:p w:rsidR="00CB39B0" w:rsidRDefault="00CB39B0" w:rsidP="00CB39B0">
      <w:pPr>
        <w:pStyle w:val="NormalWeb"/>
      </w:pPr>
      <w:r>
        <w:rPr>
          <w:rFonts w:ascii="Verdana" w:hAnsi="Verdana"/>
          <w:sz w:val="20"/>
          <w:szCs w:val="20"/>
        </w:rPr>
        <w:lastRenderedPageBreak/>
        <w:t xml:space="preserve">Benefícios cardiovasculares são atribuídos à dieta do tipo mediterrâneo com ingestão moderada de gorduras (rica em ácidos graxos monoinsaturados) (38,39), a qual também é apontada como alternativa para a promoção de perda de peso por ensaio clínico incluído na presente revisão (24) e em revisão sistemática publicada recentemente (40). Entretanto, os estudos reunidos nesta revisão (40) não apresentam resultados uniformes. É importante destacar que o seguimento de uma dieta do tipo mediterrânea pode representar uma prescrição não factível para indivíduos com menor poder aquisitivo ou ainda por diferenças marcadas nos alimentos recomendados em relação aos hábitos alimentares e culturais das populações. Além disso, a influência de outros fatores ambientais, como o nível de atividade física dos indivíduos residentes na região mediterrânea, são aspectos que também devem ser considerados. Na </w:t>
      </w:r>
      <w:hyperlink r:id="rId20" w:history="1">
        <w:r>
          <w:rPr>
            <w:rStyle w:val="Hyperlink"/>
            <w:rFonts w:ascii="Verdana" w:hAnsi="Verdana"/>
            <w:sz w:val="20"/>
            <w:szCs w:val="20"/>
          </w:rPr>
          <w:t>tabela 5</w:t>
        </w:r>
      </w:hyperlink>
      <w:r>
        <w:rPr>
          <w:rFonts w:ascii="Verdana" w:hAnsi="Verdana"/>
          <w:sz w:val="20"/>
          <w:szCs w:val="20"/>
        </w:rPr>
        <w:t xml:space="preserve"> estão descritos os principais componentes da dieta mediterrânea.</w:t>
      </w:r>
    </w:p>
    <w:p w:rsidR="00CB39B0" w:rsidRDefault="00CB39B0" w:rsidP="00CB39B0">
      <w:pPr>
        <w:pStyle w:val="NormalWeb"/>
      </w:pPr>
      <w:r>
        <w:rPr>
          <w:rFonts w:ascii="Verdana" w:hAnsi="Verdana"/>
          <w:sz w:val="20"/>
          <w:szCs w:val="20"/>
        </w:rPr>
        <w:t>Na presente revisão, o uso de substituição de refeições como estratégia para perda de peso não foi mais efetivo do que a restrição energética em si (</w:t>
      </w:r>
      <w:proofErr w:type="gramStart"/>
      <w:r>
        <w:rPr>
          <w:rFonts w:ascii="Verdana" w:hAnsi="Verdana"/>
          <w:sz w:val="20"/>
          <w:szCs w:val="20"/>
        </w:rPr>
        <w:t>16,</w:t>
      </w:r>
      <w:proofErr w:type="gramEnd"/>
      <w:r>
        <w:rPr>
          <w:rFonts w:ascii="Verdana" w:hAnsi="Verdana"/>
          <w:sz w:val="20"/>
          <w:szCs w:val="20"/>
        </w:rPr>
        <w:t xml:space="preserve">17,19,28). Entretanto, um aspecto interessante desse tipo de dieta é que ela poderia estar associada à maior facilidade de seguimento. Em pacientes com DM tipo </w:t>
      </w:r>
      <w:proofErr w:type="gramStart"/>
      <w:r>
        <w:rPr>
          <w:rFonts w:ascii="Verdana" w:hAnsi="Verdana"/>
          <w:sz w:val="20"/>
          <w:szCs w:val="20"/>
        </w:rPr>
        <w:t>2</w:t>
      </w:r>
      <w:proofErr w:type="gramEnd"/>
      <w:r>
        <w:rPr>
          <w:rFonts w:ascii="Verdana" w:hAnsi="Verdana"/>
          <w:sz w:val="20"/>
          <w:szCs w:val="20"/>
        </w:rPr>
        <w:t xml:space="preserve"> quando foi realizada a substituição de cerca de metade das refeições por alimentos com baixo IG e derivados de soja, essa dieta teve melhor aderência (57,4%) quando comparada à dieta controle (29,3%), conforme orientações da </w:t>
      </w:r>
      <w:proofErr w:type="spellStart"/>
      <w:r>
        <w:rPr>
          <w:rFonts w:ascii="Verdana" w:hAnsi="Verdana"/>
          <w:i/>
          <w:iCs/>
          <w:sz w:val="20"/>
          <w:szCs w:val="20"/>
        </w:rPr>
        <w:t>American</w:t>
      </w:r>
      <w:proofErr w:type="spellEnd"/>
      <w:r>
        <w:rPr>
          <w:rFonts w:ascii="Verdana" w:hAnsi="Verdana"/>
          <w:i/>
          <w:iCs/>
          <w:sz w:val="20"/>
          <w:szCs w:val="20"/>
        </w:rPr>
        <w:t xml:space="preserve"> Diabetes </w:t>
      </w:r>
      <w:proofErr w:type="spellStart"/>
      <w:r>
        <w:rPr>
          <w:rFonts w:ascii="Verdana" w:hAnsi="Verdana"/>
          <w:i/>
          <w:iCs/>
          <w:sz w:val="20"/>
          <w:szCs w:val="20"/>
        </w:rPr>
        <w:t>Association</w:t>
      </w:r>
      <w:proofErr w:type="spellEnd"/>
      <w:r>
        <w:rPr>
          <w:rFonts w:ascii="Verdana" w:hAnsi="Verdana"/>
          <w:sz w:val="20"/>
          <w:szCs w:val="20"/>
        </w:rPr>
        <w:t xml:space="preserve"> (40).</w:t>
      </w:r>
    </w:p>
    <w:p w:rsidR="00CB39B0" w:rsidRDefault="00CB39B0" w:rsidP="00CB39B0">
      <w:pPr>
        <w:pStyle w:val="NormalWeb"/>
      </w:pPr>
      <w:r>
        <w:rPr>
          <w:rFonts w:ascii="Verdana" w:hAnsi="Verdana"/>
          <w:sz w:val="20"/>
          <w:szCs w:val="20"/>
        </w:rPr>
        <w:t xml:space="preserve">A preferência dos pacientes em seguir ou não um tipo de dieta parece ter influência na perda de peso. Dietas vegetarianas parecem promover maior perda ponderal quando comparadas a dietas onívoras (27). Interessantemente, quando os pacientes foram estratificados de acordo com a preferência pelas dietas para as quais eles foram </w:t>
      </w:r>
      <w:proofErr w:type="spellStart"/>
      <w:r>
        <w:rPr>
          <w:rFonts w:ascii="Verdana" w:hAnsi="Verdana"/>
          <w:sz w:val="20"/>
          <w:szCs w:val="20"/>
        </w:rPr>
        <w:t>randomizados</w:t>
      </w:r>
      <w:proofErr w:type="spellEnd"/>
      <w:r>
        <w:rPr>
          <w:rFonts w:ascii="Verdana" w:hAnsi="Verdana"/>
          <w:sz w:val="20"/>
          <w:szCs w:val="20"/>
        </w:rPr>
        <w:t xml:space="preserve">, a perda de peso foi maior no estrato dos pacientes que não preferiram a dieta para a qual eles foram </w:t>
      </w:r>
      <w:proofErr w:type="spellStart"/>
      <w:r>
        <w:rPr>
          <w:rFonts w:ascii="Verdana" w:hAnsi="Verdana"/>
          <w:sz w:val="20"/>
          <w:szCs w:val="20"/>
        </w:rPr>
        <w:t>randomizados</w:t>
      </w:r>
      <w:proofErr w:type="spellEnd"/>
      <w:r>
        <w:rPr>
          <w:rFonts w:ascii="Verdana" w:hAnsi="Verdana"/>
          <w:sz w:val="20"/>
          <w:szCs w:val="20"/>
        </w:rPr>
        <w:t xml:space="preserve"> (fosse </w:t>
      </w:r>
      <w:proofErr w:type="spellStart"/>
      <w:r>
        <w:rPr>
          <w:rFonts w:ascii="Verdana" w:hAnsi="Verdana"/>
          <w:sz w:val="20"/>
          <w:szCs w:val="20"/>
        </w:rPr>
        <w:t>ovolactovegetariana</w:t>
      </w:r>
      <w:proofErr w:type="spellEnd"/>
      <w:r>
        <w:rPr>
          <w:rFonts w:ascii="Verdana" w:hAnsi="Verdana"/>
          <w:sz w:val="20"/>
          <w:szCs w:val="20"/>
        </w:rPr>
        <w:t xml:space="preserve"> ou controle).</w:t>
      </w:r>
    </w:p>
    <w:p w:rsidR="00CB39B0" w:rsidRDefault="00CB39B0" w:rsidP="00CB39B0">
      <w:pPr>
        <w:pStyle w:val="NormalWeb"/>
      </w:pPr>
      <w:r>
        <w:rPr>
          <w:rFonts w:ascii="Verdana" w:hAnsi="Verdana"/>
          <w:sz w:val="20"/>
          <w:szCs w:val="20"/>
        </w:rPr>
        <w:t xml:space="preserve">Em dietas para emagrecimento, independentemente do tipo de dieta prescrita, há associação direta entre a aderência à dieta e a perda de peso. Em um dos ECR incluídos na presente revisão (12) foi demonstrada maior perda de peso (cerca de 7% do peso inicial) diretamente associada aos maiores valores de </w:t>
      </w:r>
      <w:proofErr w:type="spellStart"/>
      <w:r>
        <w:rPr>
          <w:rFonts w:ascii="Verdana" w:hAnsi="Verdana"/>
          <w:sz w:val="20"/>
          <w:szCs w:val="20"/>
        </w:rPr>
        <w:t>autorrelato</w:t>
      </w:r>
      <w:proofErr w:type="spellEnd"/>
      <w:r>
        <w:rPr>
          <w:rFonts w:ascii="Verdana" w:hAnsi="Verdana"/>
          <w:sz w:val="20"/>
          <w:szCs w:val="20"/>
        </w:rPr>
        <w:t xml:space="preserve"> de aderência ao plano alimentar proposto (</w:t>
      </w:r>
      <w:r>
        <w:rPr>
          <w:rFonts w:ascii="Verdana" w:hAnsi="Verdana"/>
          <w:i/>
          <w:iCs/>
          <w:sz w:val="20"/>
          <w:szCs w:val="20"/>
        </w:rPr>
        <w:t>r</w:t>
      </w:r>
      <w:r>
        <w:rPr>
          <w:rFonts w:ascii="Verdana" w:hAnsi="Verdana"/>
          <w:sz w:val="20"/>
          <w:szCs w:val="20"/>
        </w:rPr>
        <w:t xml:space="preserve"> = 0,60; p &lt; </w:t>
      </w:r>
      <w:proofErr w:type="gramStart"/>
      <w:r>
        <w:rPr>
          <w:rFonts w:ascii="Verdana" w:hAnsi="Verdana"/>
          <w:sz w:val="20"/>
          <w:szCs w:val="20"/>
        </w:rPr>
        <w:t>0,</w:t>
      </w:r>
      <w:proofErr w:type="gramEnd"/>
      <w:r>
        <w:rPr>
          <w:rFonts w:ascii="Verdana" w:hAnsi="Verdana"/>
          <w:sz w:val="20"/>
          <w:szCs w:val="20"/>
        </w:rPr>
        <w:t>001), mas não ao tipo de dieta seguida (</w:t>
      </w:r>
      <w:r>
        <w:rPr>
          <w:rFonts w:ascii="Verdana" w:hAnsi="Verdana"/>
          <w:i/>
          <w:iCs/>
          <w:sz w:val="20"/>
          <w:szCs w:val="20"/>
        </w:rPr>
        <w:t>r</w:t>
      </w:r>
      <w:r>
        <w:rPr>
          <w:rFonts w:ascii="Verdana" w:hAnsi="Verdana"/>
          <w:sz w:val="20"/>
          <w:szCs w:val="20"/>
        </w:rPr>
        <w:t xml:space="preserve"> = 0,07; p = 0,40). Além disso, o acompanhamento continuado e interdisciplinar parece ser um fator importante para a obtenção de perda de peso, conforme descrito em um estudo conduzido com mulheres pós-menopáusicas (27). Nesse estudo, aquelas mulheres que participaram de grupos de apoio perderam mais peso do que aquelas que não participaram dos grupos ao longo de dois anos de seguimento, independentemente do tipo de dieta prescrita (27).</w:t>
      </w:r>
    </w:p>
    <w:p w:rsidR="00CB39B0" w:rsidRDefault="00CB39B0" w:rsidP="00CB39B0">
      <w:pPr>
        <w:pStyle w:val="NormalWeb"/>
      </w:pPr>
      <w:r>
        <w:rPr>
          <w:rFonts w:ascii="Verdana" w:hAnsi="Verdana"/>
          <w:sz w:val="20"/>
          <w:szCs w:val="20"/>
        </w:rPr>
        <w:t>Limitações comuns aos ensaios clínicos de perda de peso incluem falhas na avaliação e manutenção da aderência às dietas propostas e diferenças na intensidade das estratégias adotadas da intervenção. Mais da metade dos estudos incluídos nesta revisão apresentou taxa de abandono (perdas de seguimento) a pelo menos um tipo de dieta igual ou maior a 25%. De fato, as taxas de abandono podem ser menores (~15%) em condições diferenciadas como, por exemplo, o fornecimento de refeições em uma mesma área física, no próprio local de trabalho, com cardápio variado e ajustado de acordo com os planos alimentares e com orientações visuais na escolha dos alimentos, além de encontros periódicos com nutricionista específica para cada tipo de dieta (32).</w:t>
      </w:r>
    </w:p>
    <w:p w:rsidR="00CB39B0" w:rsidRDefault="00CB39B0" w:rsidP="00CB39B0">
      <w:pPr>
        <w:pStyle w:val="NormalWeb"/>
      </w:pPr>
      <w:r>
        <w:t> </w:t>
      </w:r>
    </w:p>
    <w:p w:rsidR="00CB39B0" w:rsidRDefault="00CB39B0" w:rsidP="00CB39B0">
      <w:pPr>
        <w:pStyle w:val="NormalWeb"/>
      </w:pPr>
      <w:r>
        <w:rPr>
          <w:rFonts w:ascii="Verdana" w:hAnsi="Verdana"/>
          <w:b/>
          <w:bCs/>
        </w:rPr>
        <w:t>CONCLUSÕES</w:t>
      </w:r>
    </w:p>
    <w:p w:rsidR="00CB39B0" w:rsidRDefault="00CB39B0" w:rsidP="00CB39B0">
      <w:pPr>
        <w:pStyle w:val="NormalWeb"/>
      </w:pPr>
      <w:r>
        <w:rPr>
          <w:rFonts w:ascii="Verdana" w:hAnsi="Verdana"/>
          <w:sz w:val="20"/>
          <w:szCs w:val="20"/>
        </w:rPr>
        <w:t>O efeito dos componentes (</w:t>
      </w:r>
      <w:proofErr w:type="spellStart"/>
      <w:r>
        <w:rPr>
          <w:rFonts w:ascii="Verdana" w:hAnsi="Verdana"/>
          <w:sz w:val="20"/>
          <w:szCs w:val="20"/>
        </w:rPr>
        <w:t>macronutrientes</w:t>
      </w:r>
      <w:proofErr w:type="spellEnd"/>
      <w:r>
        <w:rPr>
          <w:rFonts w:ascii="Verdana" w:hAnsi="Verdana"/>
          <w:sz w:val="20"/>
          <w:szCs w:val="20"/>
        </w:rPr>
        <w:t xml:space="preserve"> e/ou alimentos) de dietas para emagrecimento na perda de peso corporal em indivíduos adultos não está esclarecido de forma definitiva. É possível que a redução de carboidratos ou a dieta do tipo mediterrâneo possam surtir maior efeito na perda ponderal do que apenas a restrição energética. Entretanto, a restrição energética, independentemente dos componentes da dieta, é ainda a intervenção mais efetiva para perda ponderal. Aspectos como aceitação, motivação, estratégias de acompanhamento, preferências individuais em relação às dietas de emagrecimento, além de características próprias dos pacientes, precisam ser considerados e mais bem estudados.</w:t>
      </w:r>
    </w:p>
    <w:p w:rsidR="00CB39B0" w:rsidRDefault="00CB39B0" w:rsidP="00CB39B0">
      <w:pPr>
        <w:pStyle w:val="NormalWeb"/>
      </w:pPr>
      <w:r>
        <w:rPr>
          <w:rFonts w:ascii="Verdana" w:hAnsi="Verdana"/>
          <w:sz w:val="20"/>
          <w:szCs w:val="20"/>
        </w:rPr>
        <w:t>Declaração: os autores declaram não haver conflitos de interesse científico neste estudo.</w:t>
      </w:r>
    </w:p>
    <w:p w:rsidR="00CB39B0" w:rsidRDefault="00CB39B0" w:rsidP="00CB39B0">
      <w:pPr>
        <w:pStyle w:val="NormalWeb"/>
      </w:pPr>
      <w:r>
        <w:t> </w:t>
      </w:r>
    </w:p>
    <w:p w:rsidR="00CB39B0" w:rsidRPr="00CB39B0" w:rsidRDefault="00CB39B0" w:rsidP="00CB39B0">
      <w:pPr>
        <w:pStyle w:val="NormalWeb"/>
        <w:rPr>
          <w:lang w:val="en-US"/>
        </w:rPr>
      </w:pPr>
      <w:r w:rsidRPr="00CB39B0">
        <w:rPr>
          <w:rFonts w:ascii="Verdana" w:hAnsi="Verdana"/>
          <w:b/>
          <w:bCs/>
          <w:lang w:val="en-US"/>
        </w:rPr>
        <w:t>REFERÊNCIAS</w:t>
      </w:r>
    </w:p>
    <w:p w:rsidR="00CB39B0" w:rsidRPr="00CB39B0" w:rsidRDefault="00CB39B0" w:rsidP="00CB39B0">
      <w:pPr>
        <w:pStyle w:val="NormalWeb"/>
        <w:rPr>
          <w:lang w:val="en-US"/>
        </w:rPr>
      </w:pPr>
      <w:r w:rsidRPr="00CB39B0">
        <w:rPr>
          <w:rFonts w:ascii="Verdana" w:hAnsi="Verdana"/>
          <w:sz w:val="20"/>
          <w:szCs w:val="20"/>
          <w:lang w:val="en-US"/>
        </w:rPr>
        <w:lastRenderedPageBreak/>
        <w:t xml:space="preserve">1. World Health Organization. </w:t>
      </w:r>
      <w:proofErr w:type="gramStart"/>
      <w:r w:rsidRPr="00CB39B0">
        <w:rPr>
          <w:rFonts w:ascii="Verdana" w:hAnsi="Verdana"/>
          <w:sz w:val="20"/>
          <w:szCs w:val="20"/>
          <w:lang w:val="en-US"/>
        </w:rPr>
        <w:t>Food and Agriculture Organization.</w:t>
      </w:r>
      <w:proofErr w:type="gramEnd"/>
      <w:r w:rsidRPr="00CB39B0">
        <w:rPr>
          <w:rFonts w:ascii="Verdana" w:hAnsi="Verdana"/>
          <w:sz w:val="20"/>
          <w:szCs w:val="20"/>
          <w:lang w:val="en-US"/>
        </w:rPr>
        <w:t xml:space="preserve"> </w:t>
      </w:r>
      <w:proofErr w:type="gramStart"/>
      <w:r w:rsidRPr="00CB39B0">
        <w:rPr>
          <w:rFonts w:ascii="Verdana" w:hAnsi="Verdana"/>
          <w:sz w:val="20"/>
          <w:szCs w:val="20"/>
          <w:lang w:val="en-US"/>
        </w:rPr>
        <w:t>Joint WHO/FAO expert consultation.</w:t>
      </w:r>
      <w:proofErr w:type="gramEnd"/>
      <w:r w:rsidRPr="00CB39B0">
        <w:rPr>
          <w:rFonts w:ascii="Verdana" w:hAnsi="Verdana"/>
          <w:sz w:val="20"/>
          <w:szCs w:val="20"/>
          <w:lang w:val="en-US"/>
        </w:rPr>
        <w:t xml:space="preserve"> </w:t>
      </w:r>
      <w:proofErr w:type="gramStart"/>
      <w:r w:rsidRPr="00CB39B0">
        <w:rPr>
          <w:rFonts w:ascii="Verdana" w:hAnsi="Verdana"/>
          <w:sz w:val="20"/>
          <w:szCs w:val="20"/>
          <w:lang w:val="en-US"/>
        </w:rPr>
        <w:t>Diet, Nutrition and the Prevention of Chronic Diseases.</w:t>
      </w:r>
      <w:proofErr w:type="gramEnd"/>
      <w:r w:rsidRPr="00CB39B0">
        <w:rPr>
          <w:rFonts w:ascii="Verdana" w:hAnsi="Verdana"/>
          <w:sz w:val="20"/>
          <w:szCs w:val="20"/>
          <w:lang w:val="en-US"/>
        </w:rPr>
        <w:t xml:space="preserve"> Geneva: WHO/FAO; 2003.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Default="00CB39B0" w:rsidP="00CB39B0">
      <w:pPr>
        <w:pStyle w:val="NormalWeb"/>
      </w:pPr>
      <w:r w:rsidRPr="00CB39B0">
        <w:rPr>
          <w:rFonts w:ascii="Verdana" w:hAnsi="Verdana"/>
          <w:sz w:val="20"/>
          <w:szCs w:val="20"/>
          <w:lang w:val="en-US"/>
        </w:rPr>
        <w:t>2. WHO. Obesity and overweight [</w:t>
      </w:r>
      <w:proofErr w:type="spellStart"/>
      <w:r w:rsidRPr="00CB39B0">
        <w:rPr>
          <w:rFonts w:ascii="Verdana" w:hAnsi="Verdana"/>
          <w:sz w:val="20"/>
          <w:szCs w:val="20"/>
          <w:lang w:val="en-US"/>
        </w:rPr>
        <w:t>página</w:t>
      </w:r>
      <w:proofErr w:type="spellEnd"/>
      <w:r w:rsidRPr="00CB39B0">
        <w:rPr>
          <w:rFonts w:ascii="Verdana" w:hAnsi="Verdana"/>
          <w:sz w:val="20"/>
          <w:szCs w:val="20"/>
          <w:lang w:val="en-US"/>
        </w:rPr>
        <w:t xml:space="preserve"> </w:t>
      </w:r>
      <w:proofErr w:type="spellStart"/>
      <w:proofErr w:type="gramStart"/>
      <w:r w:rsidRPr="00CB39B0">
        <w:rPr>
          <w:rFonts w:ascii="Verdana" w:hAnsi="Verdana"/>
          <w:sz w:val="20"/>
          <w:szCs w:val="20"/>
          <w:lang w:val="en-US"/>
        </w:rPr>
        <w:t>na</w:t>
      </w:r>
      <w:proofErr w:type="spellEnd"/>
      <w:proofErr w:type="gramEnd"/>
      <w:r w:rsidRPr="00CB39B0">
        <w:rPr>
          <w:rFonts w:ascii="Verdana" w:hAnsi="Verdana"/>
          <w:sz w:val="20"/>
          <w:szCs w:val="20"/>
          <w:lang w:val="en-US"/>
        </w:rPr>
        <w:t xml:space="preserve"> internet]. </w:t>
      </w:r>
      <w:proofErr w:type="gramStart"/>
      <w:r w:rsidRPr="00CB39B0">
        <w:rPr>
          <w:rFonts w:ascii="Verdana" w:hAnsi="Verdana"/>
          <w:sz w:val="20"/>
          <w:szCs w:val="20"/>
          <w:lang w:val="en-US"/>
        </w:rPr>
        <w:t>World Health Organization.</w:t>
      </w:r>
      <w:proofErr w:type="gramEnd"/>
      <w:r w:rsidRPr="00CB39B0">
        <w:rPr>
          <w:rFonts w:ascii="Verdana" w:hAnsi="Verdana"/>
          <w:sz w:val="20"/>
          <w:szCs w:val="20"/>
          <w:lang w:val="en-US"/>
        </w:rPr>
        <w:t xml:space="preserve"> 2003. </w:t>
      </w:r>
      <w:proofErr w:type="spellStart"/>
      <w:r w:rsidRPr="00CB39B0">
        <w:rPr>
          <w:rFonts w:ascii="Verdana" w:hAnsi="Verdana"/>
          <w:sz w:val="20"/>
          <w:szCs w:val="20"/>
          <w:lang w:val="en-US"/>
        </w:rPr>
        <w:t>Disponível</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em</w:t>
      </w:r>
      <w:proofErr w:type="spellEnd"/>
      <w:r w:rsidRPr="00CB39B0">
        <w:rPr>
          <w:rFonts w:ascii="Verdana" w:hAnsi="Verdana"/>
          <w:sz w:val="20"/>
          <w:szCs w:val="20"/>
          <w:lang w:val="en-US"/>
        </w:rPr>
        <w:t xml:space="preserve">: </w:t>
      </w:r>
      <w:r w:rsidR="00091405">
        <w:fldChar w:fldCharType="begin"/>
      </w:r>
      <w:r w:rsidR="00091405" w:rsidRPr="00E07ACC">
        <w:rPr>
          <w:lang w:val="en-US"/>
        </w:rPr>
        <w:instrText>HYPERLINK "http://www.who.int/hpr/NPH/docs/gs_obesity.pdf" \t "_blank"</w:instrText>
      </w:r>
      <w:r w:rsidR="00091405">
        <w:fldChar w:fldCharType="separate"/>
      </w:r>
      <w:r w:rsidRPr="00CB39B0">
        <w:rPr>
          <w:rStyle w:val="Hyperlink"/>
          <w:rFonts w:ascii="Verdana" w:hAnsi="Verdana"/>
          <w:sz w:val="20"/>
          <w:szCs w:val="20"/>
          <w:lang w:val="en-US"/>
        </w:rPr>
        <w:t>http://www.who.int/hpr/NPH/docs/gs_obesity.pdf</w:t>
      </w:r>
      <w:r w:rsidR="00091405">
        <w:fldChar w:fldCharType="end"/>
      </w:r>
      <w:r w:rsidRPr="00CB39B0">
        <w:rPr>
          <w:rFonts w:ascii="Verdana" w:hAnsi="Verdana"/>
          <w:sz w:val="20"/>
          <w:szCs w:val="20"/>
          <w:lang w:val="en-US"/>
        </w:rPr>
        <w:t xml:space="preserve">. </w:t>
      </w:r>
      <w:r>
        <w:rPr>
          <w:rFonts w:ascii="Verdana" w:hAnsi="Verdana"/>
          <w:sz w:val="20"/>
          <w:szCs w:val="20"/>
        </w:rPr>
        <w:t xml:space="preserve">Acesso em: </w:t>
      </w:r>
      <w:proofErr w:type="gramStart"/>
      <w:r>
        <w:rPr>
          <w:rFonts w:ascii="Verdana" w:hAnsi="Verdana"/>
          <w:sz w:val="20"/>
          <w:szCs w:val="20"/>
        </w:rPr>
        <w:t>3</w:t>
      </w:r>
      <w:proofErr w:type="gramEnd"/>
      <w:r>
        <w:rPr>
          <w:rFonts w:ascii="Verdana" w:hAnsi="Verdana"/>
          <w:sz w:val="20"/>
          <w:szCs w:val="20"/>
        </w:rPr>
        <w:t xml:space="preserve"> fev. 2009.         </w:t>
      </w:r>
      <w:proofErr w:type="gramStart"/>
      <w:r>
        <w:rPr>
          <w:rFonts w:ascii="Verdana" w:hAnsi="Verdana"/>
          <w:sz w:val="20"/>
          <w:szCs w:val="20"/>
        </w:rPr>
        <w:t>[ </w:t>
      </w:r>
      <w:proofErr w:type="gramEnd"/>
      <w:r w:rsidR="00091405">
        <w:rPr>
          <w:rFonts w:ascii="Verdana" w:hAnsi="Verdana"/>
          <w:sz w:val="20"/>
          <w:szCs w:val="20"/>
        </w:rPr>
        <w:fldChar w:fldCharType="begin"/>
      </w:r>
      <w:r>
        <w:rPr>
          <w:rFonts w:ascii="Verdana" w:hAnsi="Verdana"/>
          <w:sz w:val="20"/>
          <w:szCs w:val="20"/>
        </w:rPr>
        <w:instrText xml:space="preserve"> HYPERLINK "javascript:void(0);" </w:instrText>
      </w:r>
      <w:r w:rsidR="00091405">
        <w:rPr>
          <w:rFonts w:ascii="Verdana" w:hAnsi="Verdana"/>
          <w:sz w:val="20"/>
          <w:szCs w:val="20"/>
        </w:rPr>
        <w:fldChar w:fldCharType="separate"/>
      </w:r>
      <w:r>
        <w:rPr>
          <w:rStyle w:val="Hyperlink"/>
          <w:rFonts w:ascii="Verdana" w:hAnsi="Verdana"/>
          <w:sz w:val="20"/>
          <w:szCs w:val="20"/>
        </w:rPr>
        <w:t>Links</w:t>
      </w:r>
      <w:r w:rsidR="00091405">
        <w:rPr>
          <w:rFonts w:ascii="Verdana" w:hAnsi="Verdana"/>
          <w:sz w:val="20"/>
          <w:szCs w:val="20"/>
        </w:rPr>
        <w:fldChar w:fldCharType="end"/>
      </w:r>
      <w:r>
        <w:rPr>
          <w:rFonts w:ascii="Verdana" w:hAnsi="Verdana"/>
          <w:sz w:val="20"/>
          <w:szCs w:val="20"/>
        </w:rPr>
        <w:t> ]</w:t>
      </w:r>
    </w:p>
    <w:p w:rsidR="00CB39B0" w:rsidRDefault="00CB39B0" w:rsidP="00CB39B0">
      <w:pPr>
        <w:pStyle w:val="NormalWeb"/>
      </w:pPr>
      <w:r>
        <w:rPr>
          <w:rFonts w:ascii="Verdana" w:hAnsi="Verdana"/>
          <w:sz w:val="20"/>
          <w:szCs w:val="20"/>
        </w:rPr>
        <w:t>3. Instituto Brasileiro de Geografia e Estatística (IBGE). Pesquisa de Orçamentos Familiares (POF) 2002-2003. Ministério do Planejamento, Orçamento e Gestão, 2006.         </w:t>
      </w:r>
      <w:proofErr w:type="gramStart"/>
      <w:r>
        <w:rPr>
          <w:rFonts w:ascii="Verdana" w:hAnsi="Verdana"/>
          <w:sz w:val="20"/>
          <w:szCs w:val="20"/>
        </w:rPr>
        <w:t>[ </w:t>
      </w:r>
      <w:proofErr w:type="gramEnd"/>
      <w:r w:rsidR="00091405">
        <w:rPr>
          <w:rFonts w:ascii="Verdana" w:hAnsi="Verdana"/>
          <w:sz w:val="20"/>
          <w:szCs w:val="20"/>
        </w:rPr>
        <w:fldChar w:fldCharType="begin"/>
      </w:r>
      <w:r>
        <w:rPr>
          <w:rFonts w:ascii="Verdana" w:hAnsi="Verdana"/>
          <w:sz w:val="20"/>
          <w:szCs w:val="20"/>
        </w:rPr>
        <w:instrText xml:space="preserve"> HYPERLINK "javascript:void(0);" </w:instrText>
      </w:r>
      <w:r w:rsidR="00091405">
        <w:rPr>
          <w:rFonts w:ascii="Verdana" w:hAnsi="Verdana"/>
          <w:sz w:val="20"/>
          <w:szCs w:val="20"/>
        </w:rPr>
        <w:fldChar w:fldCharType="separate"/>
      </w:r>
      <w:r>
        <w:rPr>
          <w:rStyle w:val="Hyperlink"/>
          <w:rFonts w:ascii="Verdana" w:hAnsi="Verdana"/>
          <w:sz w:val="20"/>
          <w:szCs w:val="20"/>
        </w:rPr>
        <w:t>Links</w:t>
      </w:r>
      <w:r w:rsidR="00091405">
        <w:rPr>
          <w:rFonts w:ascii="Verdana" w:hAnsi="Verdana"/>
          <w:sz w:val="20"/>
          <w:szCs w:val="20"/>
        </w:rPr>
        <w:fldChar w:fldCharType="end"/>
      </w:r>
      <w:r>
        <w:rPr>
          <w:rFonts w:ascii="Verdana" w:hAnsi="Verdana"/>
          <w:sz w:val="20"/>
          <w:szCs w:val="20"/>
        </w:rPr>
        <w:t> ]</w:t>
      </w:r>
    </w:p>
    <w:p w:rsidR="00CB39B0" w:rsidRDefault="00CB39B0" w:rsidP="00CB39B0">
      <w:pPr>
        <w:pStyle w:val="NormalWeb"/>
      </w:pPr>
      <w:r>
        <w:rPr>
          <w:rFonts w:ascii="Verdana" w:hAnsi="Verdana"/>
          <w:sz w:val="20"/>
          <w:szCs w:val="20"/>
        </w:rPr>
        <w:t xml:space="preserve">4. Ministério da Saúde. PNDS 2006. Pesquisa Nacional de Demografia e Saúde da Criança e da Mulher - Relatório. Brasília/DF, 2008. Disponível em: </w:t>
      </w:r>
      <w:hyperlink r:id="rId21" w:tgtFrame="_blank" w:history="1">
        <w:r>
          <w:rPr>
            <w:rStyle w:val="Hyperlink"/>
            <w:rFonts w:ascii="Verdana" w:hAnsi="Verdana"/>
            <w:sz w:val="20"/>
            <w:szCs w:val="20"/>
          </w:rPr>
          <w:t>http://bvsms.saude.gov.br/bvs/pnds/img/relatorio_final_pnds2006.pdf</w:t>
        </w:r>
      </w:hyperlink>
      <w:r>
        <w:rPr>
          <w:rFonts w:ascii="Verdana" w:hAnsi="Verdana"/>
          <w:sz w:val="20"/>
          <w:szCs w:val="20"/>
        </w:rPr>
        <w:t>. Acesso em: 17 out. 2008.         </w:t>
      </w:r>
      <w:proofErr w:type="gramStart"/>
      <w:r>
        <w:rPr>
          <w:rFonts w:ascii="Verdana" w:hAnsi="Verdana"/>
          <w:sz w:val="20"/>
          <w:szCs w:val="20"/>
        </w:rPr>
        <w:t>[ </w:t>
      </w:r>
      <w:proofErr w:type="gramEnd"/>
      <w:r w:rsidR="00091405">
        <w:rPr>
          <w:rFonts w:ascii="Verdana" w:hAnsi="Verdana"/>
          <w:sz w:val="20"/>
          <w:szCs w:val="20"/>
        </w:rPr>
        <w:fldChar w:fldCharType="begin"/>
      </w:r>
      <w:r>
        <w:rPr>
          <w:rFonts w:ascii="Verdana" w:hAnsi="Verdana"/>
          <w:sz w:val="20"/>
          <w:szCs w:val="20"/>
        </w:rPr>
        <w:instrText xml:space="preserve"> HYPERLINK "javascript:void(0);" </w:instrText>
      </w:r>
      <w:r w:rsidR="00091405">
        <w:rPr>
          <w:rFonts w:ascii="Verdana" w:hAnsi="Verdana"/>
          <w:sz w:val="20"/>
          <w:szCs w:val="20"/>
        </w:rPr>
        <w:fldChar w:fldCharType="separate"/>
      </w:r>
      <w:r>
        <w:rPr>
          <w:rStyle w:val="Hyperlink"/>
          <w:rFonts w:ascii="Verdana" w:hAnsi="Verdana"/>
          <w:sz w:val="20"/>
          <w:szCs w:val="20"/>
        </w:rPr>
        <w:t>Links</w:t>
      </w:r>
      <w:r w:rsidR="00091405">
        <w:rPr>
          <w:rFonts w:ascii="Verdana" w:hAnsi="Verdana"/>
          <w:sz w:val="20"/>
          <w:szCs w:val="20"/>
        </w:rPr>
        <w:fldChar w:fldCharType="end"/>
      </w:r>
      <w:r>
        <w:rPr>
          <w:rFonts w:ascii="Verdana" w:hAnsi="Verdana"/>
          <w:sz w:val="20"/>
          <w:szCs w:val="20"/>
        </w:rPr>
        <w:t> ]</w:t>
      </w:r>
    </w:p>
    <w:p w:rsidR="00CB39B0" w:rsidRPr="00CB39B0" w:rsidRDefault="00CB39B0" w:rsidP="00CB39B0">
      <w:pPr>
        <w:pStyle w:val="NormalWeb"/>
        <w:rPr>
          <w:lang w:val="en-US"/>
        </w:rPr>
      </w:pPr>
      <w:r>
        <w:rPr>
          <w:rFonts w:ascii="Verdana" w:hAnsi="Verdana"/>
          <w:sz w:val="20"/>
          <w:szCs w:val="20"/>
        </w:rPr>
        <w:t xml:space="preserve">5. </w:t>
      </w:r>
      <w:proofErr w:type="spellStart"/>
      <w:r>
        <w:rPr>
          <w:rFonts w:ascii="Verdana" w:hAnsi="Verdana"/>
          <w:sz w:val="20"/>
          <w:szCs w:val="20"/>
        </w:rPr>
        <w:t>Vedana</w:t>
      </w:r>
      <w:proofErr w:type="spellEnd"/>
      <w:r>
        <w:rPr>
          <w:rFonts w:ascii="Verdana" w:hAnsi="Verdana"/>
          <w:sz w:val="20"/>
          <w:szCs w:val="20"/>
        </w:rPr>
        <w:t xml:space="preserve"> EH, Peres MA, Neves J, Rocha GC, Longo GZ. </w:t>
      </w:r>
      <w:proofErr w:type="gramStart"/>
      <w:r w:rsidRPr="00CB39B0">
        <w:rPr>
          <w:rFonts w:ascii="Verdana" w:hAnsi="Verdana"/>
          <w:sz w:val="20"/>
          <w:szCs w:val="20"/>
          <w:lang w:val="en-US"/>
        </w:rPr>
        <w:t>Prevalence of obesity and potential causal factors among adults in southern Brazil.</w:t>
      </w:r>
      <w:proofErr w:type="gramEnd"/>
      <w:r w:rsidRPr="00CB39B0">
        <w:rPr>
          <w:rFonts w:ascii="Verdana" w:hAnsi="Verdana"/>
          <w:sz w:val="20"/>
          <w:szCs w:val="20"/>
          <w:lang w:val="en-US"/>
        </w:rPr>
        <w:t xml:space="preserve"> </w:t>
      </w:r>
      <w:proofErr w:type="spellStart"/>
      <w:proofErr w:type="gramStart"/>
      <w:r w:rsidRPr="00CB39B0">
        <w:rPr>
          <w:rFonts w:ascii="Verdana" w:hAnsi="Verdana"/>
          <w:sz w:val="20"/>
          <w:szCs w:val="20"/>
          <w:lang w:val="en-US"/>
        </w:rPr>
        <w:t>Arq</w:t>
      </w:r>
      <w:proofErr w:type="spellEnd"/>
      <w:r w:rsidRPr="00CB39B0">
        <w:rPr>
          <w:rFonts w:ascii="Verdana" w:hAnsi="Verdana"/>
          <w:sz w:val="20"/>
          <w:szCs w:val="20"/>
          <w:lang w:val="en-US"/>
        </w:rPr>
        <w:t xml:space="preserve"> Bras </w:t>
      </w:r>
      <w:proofErr w:type="spellStart"/>
      <w:r w:rsidRPr="00CB39B0">
        <w:rPr>
          <w:rFonts w:ascii="Verdana" w:hAnsi="Verdana"/>
          <w:sz w:val="20"/>
          <w:szCs w:val="20"/>
          <w:lang w:val="en-US"/>
        </w:rPr>
        <w:t>Endocrinol</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Metabol</w:t>
      </w:r>
      <w:proofErr w:type="spellEnd"/>
      <w:r w:rsidRPr="00CB39B0">
        <w:rPr>
          <w:rFonts w:ascii="Verdana" w:hAnsi="Verdana"/>
          <w:sz w:val="20"/>
          <w:szCs w:val="20"/>
          <w:lang w:val="en-US"/>
        </w:rPr>
        <w:t>.</w:t>
      </w:r>
      <w:proofErr w:type="gramEnd"/>
      <w:r w:rsidRPr="00CB39B0">
        <w:rPr>
          <w:rFonts w:ascii="Verdana" w:hAnsi="Verdana"/>
          <w:sz w:val="20"/>
          <w:szCs w:val="20"/>
          <w:lang w:val="en-US"/>
        </w:rPr>
        <w:t xml:space="preserve"> 2008</w:t>
      </w:r>
      <w:proofErr w:type="gramStart"/>
      <w:r w:rsidRPr="00CB39B0">
        <w:rPr>
          <w:rFonts w:ascii="Verdana" w:hAnsi="Verdana"/>
          <w:sz w:val="20"/>
          <w:szCs w:val="20"/>
          <w:lang w:val="en-US"/>
        </w:rPr>
        <w:t>;52</w:t>
      </w:r>
      <w:proofErr w:type="gramEnd"/>
      <w:r w:rsidRPr="00CB39B0">
        <w:rPr>
          <w:rFonts w:ascii="Verdana" w:hAnsi="Verdana"/>
          <w:sz w:val="20"/>
          <w:szCs w:val="20"/>
          <w:lang w:val="en-US"/>
        </w:rPr>
        <w:t>(7):1156-62.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6. </w:t>
      </w:r>
      <w:proofErr w:type="spellStart"/>
      <w:r w:rsidRPr="00CB39B0">
        <w:rPr>
          <w:rFonts w:ascii="Verdana" w:hAnsi="Verdana"/>
          <w:sz w:val="20"/>
          <w:szCs w:val="20"/>
          <w:lang w:val="en-US"/>
        </w:rPr>
        <w:t>Serdula</w:t>
      </w:r>
      <w:proofErr w:type="spellEnd"/>
      <w:r w:rsidRPr="00CB39B0">
        <w:rPr>
          <w:rFonts w:ascii="Verdana" w:hAnsi="Verdana"/>
          <w:sz w:val="20"/>
          <w:szCs w:val="20"/>
          <w:lang w:val="en-US"/>
        </w:rPr>
        <w:t xml:space="preserve"> MK, </w:t>
      </w:r>
      <w:proofErr w:type="spellStart"/>
      <w:r w:rsidRPr="00CB39B0">
        <w:rPr>
          <w:rFonts w:ascii="Verdana" w:hAnsi="Verdana"/>
          <w:sz w:val="20"/>
          <w:szCs w:val="20"/>
          <w:lang w:val="en-US"/>
        </w:rPr>
        <w:t>Mokdad</w:t>
      </w:r>
      <w:proofErr w:type="spellEnd"/>
      <w:r w:rsidRPr="00CB39B0">
        <w:rPr>
          <w:rFonts w:ascii="Verdana" w:hAnsi="Verdana"/>
          <w:sz w:val="20"/>
          <w:szCs w:val="20"/>
          <w:lang w:val="en-US"/>
        </w:rPr>
        <w:t xml:space="preserve"> AH, Williamson DF, </w:t>
      </w:r>
      <w:proofErr w:type="spellStart"/>
      <w:r w:rsidRPr="00CB39B0">
        <w:rPr>
          <w:rFonts w:ascii="Verdana" w:hAnsi="Verdana"/>
          <w:sz w:val="20"/>
          <w:szCs w:val="20"/>
          <w:lang w:val="en-US"/>
        </w:rPr>
        <w:t>Galuska</w:t>
      </w:r>
      <w:proofErr w:type="spellEnd"/>
      <w:r w:rsidRPr="00CB39B0">
        <w:rPr>
          <w:rFonts w:ascii="Verdana" w:hAnsi="Verdana"/>
          <w:sz w:val="20"/>
          <w:szCs w:val="20"/>
          <w:lang w:val="en-US"/>
        </w:rPr>
        <w:t xml:space="preserve"> DA, </w:t>
      </w:r>
      <w:proofErr w:type="spellStart"/>
      <w:r w:rsidRPr="00CB39B0">
        <w:rPr>
          <w:rFonts w:ascii="Verdana" w:hAnsi="Verdana"/>
          <w:sz w:val="20"/>
          <w:szCs w:val="20"/>
          <w:lang w:val="en-US"/>
        </w:rPr>
        <w:t>Mendlein</w:t>
      </w:r>
      <w:proofErr w:type="spellEnd"/>
      <w:r w:rsidRPr="00CB39B0">
        <w:rPr>
          <w:rFonts w:ascii="Verdana" w:hAnsi="Verdana"/>
          <w:sz w:val="20"/>
          <w:szCs w:val="20"/>
          <w:lang w:val="en-US"/>
        </w:rPr>
        <w:t xml:space="preserve"> JM, Heath GW. </w:t>
      </w:r>
      <w:proofErr w:type="gramStart"/>
      <w:r w:rsidRPr="00CB39B0">
        <w:rPr>
          <w:rFonts w:ascii="Verdana" w:hAnsi="Verdana"/>
          <w:sz w:val="20"/>
          <w:szCs w:val="20"/>
          <w:lang w:val="en-US"/>
        </w:rPr>
        <w:t>Prevalence of attempting weight loss and strategies for controlling weight.</w:t>
      </w:r>
      <w:proofErr w:type="gramEnd"/>
      <w:r w:rsidRPr="00CB39B0">
        <w:rPr>
          <w:rFonts w:ascii="Verdana" w:hAnsi="Verdana"/>
          <w:sz w:val="20"/>
          <w:szCs w:val="20"/>
          <w:lang w:val="en-US"/>
        </w:rPr>
        <w:t xml:space="preserve"> </w:t>
      </w:r>
      <w:proofErr w:type="gramStart"/>
      <w:r w:rsidRPr="00CB39B0">
        <w:rPr>
          <w:rFonts w:ascii="Verdana" w:hAnsi="Verdana"/>
          <w:sz w:val="20"/>
          <w:szCs w:val="20"/>
          <w:lang w:val="en-US"/>
        </w:rPr>
        <w:t>JAMA.</w:t>
      </w:r>
      <w:proofErr w:type="gramEnd"/>
      <w:r w:rsidRPr="00CB39B0">
        <w:rPr>
          <w:rFonts w:ascii="Verdana" w:hAnsi="Verdana"/>
          <w:sz w:val="20"/>
          <w:szCs w:val="20"/>
          <w:lang w:val="en-US"/>
        </w:rPr>
        <w:t xml:space="preserve"> 1999</w:t>
      </w:r>
      <w:proofErr w:type="gramStart"/>
      <w:r w:rsidRPr="00CB39B0">
        <w:rPr>
          <w:rFonts w:ascii="Verdana" w:hAnsi="Verdana"/>
          <w:sz w:val="20"/>
          <w:szCs w:val="20"/>
          <w:lang w:val="en-US"/>
        </w:rPr>
        <w:t>;282:1353</w:t>
      </w:r>
      <w:proofErr w:type="gramEnd"/>
      <w:r w:rsidRPr="00CB39B0">
        <w:rPr>
          <w:rFonts w:ascii="Verdana" w:hAnsi="Verdana"/>
          <w:sz w:val="20"/>
          <w:szCs w:val="20"/>
          <w:lang w:val="en-US"/>
        </w:rPr>
        <w:t>-8.         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7. Ma Y, </w:t>
      </w:r>
      <w:proofErr w:type="spellStart"/>
      <w:r w:rsidRPr="00CB39B0">
        <w:rPr>
          <w:rFonts w:ascii="Verdana" w:hAnsi="Verdana"/>
          <w:sz w:val="20"/>
          <w:szCs w:val="20"/>
          <w:lang w:val="en-US"/>
        </w:rPr>
        <w:t>Pagoto</w:t>
      </w:r>
      <w:proofErr w:type="spellEnd"/>
      <w:r w:rsidRPr="00CB39B0">
        <w:rPr>
          <w:rFonts w:ascii="Verdana" w:hAnsi="Verdana"/>
          <w:sz w:val="20"/>
          <w:szCs w:val="20"/>
          <w:lang w:val="en-US"/>
        </w:rPr>
        <w:t xml:space="preserve"> SL, Griffith JA, Merriam PA, </w:t>
      </w:r>
      <w:proofErr w:type="spellStart"/>
      <w:r w:rsidRPr="00CB39B0">
        <w:rPr>
          <w:rFonts w:ascii="Verdana" w:hAnsi="Verdana"/>
          <w:sz w:val="20"/>
          <w:szCs w:val="20"/>
          <w:lang w:val="en-US"/>
        </w:rPr>
        <w:t>Ockene</w:t>
      </w:r>
      <w:proofErr w:type="spellEnd"/>
      <w:r w:rsidRPr="00CB39B0">
        <w:rPr>
          <w:rFonts w:ascii="Verdana" w:hAnsi="Verdana"/>
          <w:sz w:val="20"/>
          <w:szCs w:val="20"/>
          <w:lang w:val="en-US"/>
        </w:rPr>
        <w:t xml:space="preserve"> IS, </w:t>
      </w:r>
      <w:proofErr w:type="spellStart"/>
      <w:r w:rsidRPr="00CB39B0">
        <w:rPr>
          <w:rFonts w:ascii="Verdana" w:hAnsi="Verdana"/>
          <w:sz w:val="20"/>
          <w:szCs w:val="20"/>
          <w:lang w:val="en-US"/>
        </w:rPr>
        <w:t>Hafner</w:t>
      </w:r>
      <w:proofErr w:type="spellEnd"/>
      <w:r w:rsidRPr="00CB39B0">
        <w:rPr>
          <w:rFonts w:ascii="Verdana" w:hAnsi="Verdana"/>
          <w:sz w:val="20"/>
          <w:szCs w:val="20"/>
          <w:lang w:val="en-US"/>
        </w:rPr>
        <w:t xml:space="preserve"> AR, et al. </w:t>
      </w:r>
      <w:proofErr w:type="gramStart"/>
      <w:r w:rsidRPr="00CB39B0">
        <w:rPr>
          <w:rFonts w:ascii="Verdana" w:hAnsi="Verdana"/>
          <w:sz w:val="20"/>
          <w:szCs w:val="20"/>
          <w:lang w:val="en-US"/>
        </w:rPr>
        <w:t>A Dietary Quality Comparison of Popular Weight-Loss Plans.</w:t>
      </w:r>
      <w:proofErr w:type="gramEnd"/>
      <w:r w:rsidRPr="00CB39B0">
        <w:rPr>
          <w:rFonts w:ascii="Verdana" w:hAnsi="Verdana"/>
          <w:sz w:val="20"/>
          <w:szCs w:val="20"/>
          <w:lang w:val="en-US"/>
        </w:rPr>
        <w:t xml:space="preserve"> J Am Diet Assoc. 2007</w:t>
      </w:r>
      <w:proofErr w:type="gramStart"/>
      <w:r w:rsidRPr="00CB39B0">
        <w:rPr>
          <w:rFonts w:ascii="Verdana" w:hAnsi="Verdana"/>
          <w:sz w:val="20"/>
          <w:szCs w:val="20"/>
          <w:lang w:val="en-US"/>
        </w:rPr>
        <w:t>;107</w:t>
      </w:r>
      <w:proofErr w:type="gramEnd"/>
      <w:r w:rsidRPr="00CB39B0">
        <w:rPr>
          <w:rFonts w:ascii="Verdana" w:hAnsi="Verdana"/>
          <w:sz w:val="20"/>
          <w:szCs w:val="20"/>
          <w:lang w:val="en-US"/>
        </w:rPr>
        <w:t>(10):1786-91.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8. Freedman MR, King J, Kennedy E. Popular diets: a scientific review. </w:t>
      </w:r>
      <w:proofErr w:type="spellStart"/>
      <w:r w:rsidRPr="00CB39B0">
        <w:rPr>
          <w:rFonts w:ascii="Verdana" w:hAnsi="Verdana"/>
          <w:sz w:val="20"/>
          <w:szCs w:val="20"/>
          <w:lang w:val="en-US"/>
        </w:rPr>
        <w:t>Obes</w:t>
      </w:r>
      <w:proofErr w:type="spellEnd"/>
      <w:r w:rsidRPr="00CB39B0">
        <w:rPr>
          <w:rFonts w:ascii="Verdana" w:hAnsi="Verdana"/>
          <w:sz w:val="20"/>
          <w:szCs w:val="20"/>
          <w:lang w:val="en-US"/>
        </w:rPr>
        <w:t xml:space="preserve"> Res. 2001</w:t>
      </w:r>
      <w:proofErr w:type="gramStart"/>
      <w:r w:rsidRPr="00CB39B0">
        <w:rPr>
          <w:rFonts w:ascii="Verdana" w:hAnsi="Verdana"/>
          <w:sz w:val="20"/>
          <w:szCs w:val="20"/>
          <w:lang w:val="en-US"/>
        </w:rPr>
        <w:t>;9:1S</w:t>
      </w:r>
      <w:proofErr w:type="gramEnd"/>
      <w:r w:rsidRPr="00CB39B0">
        <w:rPr>
          <w:rFonts w:ascii="Verdana" w:hAnsi="Verdana"/>
          <w:sz w:val="20"/>
          <w:szCs w:val="20"/>
          <w:lang w:val="en-US"/>
        </w:rPr>
        <w:t>-40S.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9. Kennedy ET, </w:t>
      </w:r>
      <w:proofErr w:type="spellStart"/>
      <w:r w:rsidRPr="00CB39B0">
        <w:rPr>
          <w:rFonts w:ascii="Verdana" w:hAnsi="Verdana"/>
          <w:sz w:val="20"/>
          <w:szCs w:val="20"/>
          <w:lang w:val="en-US"/>
        </w:rPr>
        <w:t>Ohls</w:t>
      </w:r>
      <w:proofErr w:type="spellEnd"/>
      <w:r w:rsidRPr="00CB39B0">
        <w:rPr>
          <w:rFonts w:ascii="Verdana" w:hAnsi="Verdana"/>
          <w:sz w:val="20"/>
          <w:szCs w:val="20"/>
          <w:lang w:val="en-US"/>
        </w:rPr>
        <w:t xml:space="preserve"> J, Carlson S, Fleming K. The healthy eating index: design and applications. J Am Diet Assoc. 1995</w:t>
      </w:r>
      <w:proofErr w:type="gramStart"/>
      <w:r w:rsidRPr="00CB39B0">
        <w:rPr>
          <w:rFonts w:ascii="Verdana" w:hAnsi="Verdana"/>
          <w:sz w:val="20"/>
          <w:szCs w:val="20"/>
          <w:lang w:val="en-US"/>
        </w:rPr>
        <w:t>;10:103</w:t>
      </w:r>
      <w:proofErr w:type="gramEnd"/>
      <w:r w:rsidRPr="00CB39B0">
        <w:rPr>
          <w:rFonts w:ascii="Verdana" w:hAnsi="Verdana"/>
          <w:sz w:val="20"/>
          <w:szCs w:val="20"/>
          <w:lang w:val="en-US"/>
        </w:rPr>
        <w:t>-8</w:t>
      </w:r>
      <w:r w:rsidRPr="00CB39B0">
        <w:rPr>
          <w:lang w:val="en-US"/>
        </w:rPr>
        <w:t>        [ </w:t>
      </w:r>
      <w:r w:rsidR="00091405">
        <w:fldChar w:fldCharType="begin"/>
      </w:r>
      <w:r w:rsidR="00091405" w:rsidRPr="00E07ACC">
        <w:rPr>
          <w:lang w:val="en-US"/>
        </w:rPr>
        <w:instrText>HYPERLINK "javascript:void(0);"</w:instrText>
      </w:r>
      <w:r w:rsidR="00091405">
        <w:fldChar w:fldCharType="separate"/>
      </w:r>
      <w:r w:rsidRPr="00CB39B0">
        <w:rPr>
          <w:rStyle w:val="Hyperlink"/>
          <w:lang w:val="en-US"/>
        </w:rPr>
        <w:t>Links</w:t>
      </w:r>
      <w:r w:rsidR="00091405">
        <w:fldChar w:fldCharType="end"/>
      </w:r>
      <w:r w:rsidRPr="00CB39B0">
        <w:rPr>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10. USDA. </w:t>
      </w:r>
      <w:proofErr w:type="gramStart"/>
      <w:r w:rsidRPr="00CB39B0">
        <w:rPr>
          <w:rFonts w:ascii="Verdana" w:hAnsi="Verdana"/>
          <w:sz w:val="20"/>
          <w:szCs w:val="20"/>
          <w:lang w:val="en-US"/>
        </w:rPr>
        <w:t>Center for Nutrition Policy and Promotion.</w:t>
      </w:r>
      <w:proofErr w:type="gramEnd"/>
      <w:r w:rsidRPr="00CB39B0">
        <w:rPr>
          <w:rFonts w:ascii="Verdana" w:hAnsi="Verdana"/>
          <w:sz w:val="20"/>
          <w:szCs w:val="20"/>
          <w:lang w:val="en-US"/>
        </w:rPr>
        <w:t xml:space="preserve"> </w:t>
      </w:r>
      <w:proofErr w:type="spellStart"/>
      <w:r>
        <w:rPr>
          <w:rFonts w:ascii="Verdana" w:hAnsi="Verdana"/>
          <w:sz w:val="20"/>
          <w:szCs w:val="20"/>
        </w:rPr>
        <w:t>Healthy</w:t>
      </w:r>
      <w:proofErr w:type="spellEnd"/>
      <w:r>
        <w:rPr>
          <w:rFonts w:ascii="Verdana" w:hAnsi="Verdana"/>
          <w:sz w:val="20"/>
          <w:szCs w:val="20"/>
        </w:rPr>
        <w:t xml:space="preserve"> </w:t>
      </w:r>
      <w:proofErr w:type="spellStart"/>
      <w:r>
        <w:rPr>
          <w:rFonts w:ascii="Verdana" w:hAnsi="Verdana"/>
          <w:sz w:val="20"/>
          <w:szCs w:val="20"/>
        </w:rPr>
        <w:t>Eating</w:t>
      </w:r>
      <w:proofErr w:type="spellEnd"/>
      <w:r>
        <w:rPr>
          <w:rFonts w:ascii="Verdana" w:hAnsi="Verdana"/>
          <w:sz w:val="20"/>
          <w:szCs w:val="20"/>
        </w:rPr>
        <w:t xml:space="preserve"> </w:t>
      </w:r>
      <w:proofErr w:type="spellStart"/>
      <w:r>
        <w:rPr>
          <w:rFonts w:ascii="Verdana" w:hAnsi="Verdana"/>
          <w:sz w:val="20"/>
          <w:szCs w:val="20"/>
        </w:rPr>
        <w:t>Index</w:t>
      </w:r>
      <w:proofErr w:type="spellEnd"/>
      <w:r>
        <w:rPr>
          <w:rFonts w:ascii="Verdana" w:hAnsi="Verdana"/>
          <w:sz w:val="20"/>
          <w:szCs w:val="20"/>
        </w:rPr>
        <w:t xml:space="preserve">. Disponível na internet via </w:t>
      </w:r>
      <w:hyperlink r:id="rId22" w:tgtFrame="_blank" w:history="1">
        <w:r>
          <w:rPr>
            <w:rStyle w:val="Hyperlink"/>
            <w:rFonts w:ascii="Verdana" w:hAnsi="Verdana"/>
            <w:sz w:val="20"/>
            <w:szCs w:val="20"/>
          </w:rPr>
          <w:t>http://www.cnpp.usda.gov/publications/hei/HEI89-90report.pdf</w:t>
        </w:r>
      </w:hyperlink>
      <w:r>
        <w:rPr>
          <w:rFonts w:ascii="Verdana" w:hAnsi="Verdana"/>
          <w:sz w:val="20"/>
          <w:szCs w:val="20"/>
        </w:rPr>
        <w:t xml:space="preserve">. </w:t>
      </w:r>
      <w:proofErr w:type="spellStart"/>
      <w:r w:rsidRPr="00CB39B0">
        <w:rPr>
          <w:rFonts w:ascii="Verdana" w:hAnsi="Verdana"/>
          <w:sz w:val="20"/>
          <w:szCs w:val="20"/>
          <w:lang w:val="en-US"/>
        </w:rPr>
        <w:t>Acesso</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em</w:t>
      </w:r>
      <w:proofErr w:type="spellEnd"/>
      <w:r w:rsidRPr="00CB39B0">
        <w:rPr>
          <w:rFonts w:ascii="Verdana" w:hAnsi="Verdana"/>
          <w:sz w:val="20"/>
          <w:szCs w:val="20"/>
          <w:lang w:val="en-US"/>
        </w:rPr>
        <w:t>: 30 mar. 2009.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11. Foster-Powell K, Holt SHA, Brand-Miller JC. International table of </w:t>
      </w:r>
      <w:proofErr w:type="spellStart"/>
      <w:r w:rsidRPr="00CB39B0">
        <w:rPr>
          <w:rFonts w:ascii="Verdana" w:hAnsi="Verdana"/>
          <w:sz w:val="20"/>
          <w:szCs w:val="20"/>
          <w:lang w:val="en-US"/>
        </w:rPr>
        <w:t>glycemic</w:t>
      </w:r>
      <w:proofErr w:type="spellEnd"/>
      <w:r w:rsidRPr="00CB39B0">
        <w:rPr>
          <w:rFonts w:ascii="Verdana" w:hAnsi="Verdana"/>
          <w:sz w:val="20"/>
          <w:szCs w:val="20"/>
          <w:lang w:val="en-US"/>
        </w:rPr>
        <w:t xml:space="preserve"> index and </w:t>
      </w:r>
      <w:proofErr w:type="spellStart"/>
      <w:r w:rsidRPr="00CB39B0">
        <w:rPr>
          <w:rFonts w:ascii="Verdana" w:hAnsi="Verdana"/>
          <w:sz w:val="20"/>
          <w:szCs w:val="20"/>
          <w:lang w:val="en-US"/>
        </w:rPr>
        <w:t>glycemic</w:t>
      </w:r>
      <w:proofErr w:type="spellEnd"/>
      <w:r w:rsidRPr="00CB39B0">
        <w:rPr>
          <w:rFonts w:ascii="Verdana" w:hAnsi="Verdana"/>
          <w:sz w:val="20"/>
          <w:szCs w:val="20"/>
          <w:lang w:val="en-US"/>
        </w:rPr>
        <w:t xml:space="preserve"> load values: 2002. </w:t>
      </w:r>
      <w:proofErr w:type="gramStart"/>
      <w:r w:rsidRPr="00CB39B0">
        <w:rPr>
          <w:rFonts w:ascii="Verdana" w:hAnsi="Verdana"/>
          <w:sz w:val="20"/>
          <w:szCs w:val="20"/>
          <w:lang w:val="en-US"/>
        </w:rPr>
        <w:t xml:space="preserve">Am J </w:t>
      </w:r>
      <w:proofErr w:type="spellStart"/>
      <w:r w:rsidRPr="00CB39B0">
        <w:rPr>
          <w:rFonts w:ascii="Verdana" w:hAnsi="Verdana"/>
          <w:sz w:val="20"/>
          <w:szCs w:val="20"/>
          <w:lang w:val="en-US"/>
        </w:rPr>
        <w:t>Clin</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Nutr</w:t>
      </w:r>
      <w:proofErr w:type="spellEnd"/>
      <w:r w:rsidRPr="00CB39B0">
        <w:rPr>
          <w:rFonts w:ascii="Verdana" w:hAnsi="Verdana"/>
          <w:sz w:val="20"/>
          <w:szCs w:val="20"/>
          <w:lang w:val="en-US"/>
        </w:rPr>
        <w:t>.</w:t>
      </w:r>
      <w:proofErr w:type="gramEnd"/>
      <w:r w:rsidRPr="00CB39B0">
        <w:rPr>
          <w:rFonts w:ascii="Verdana" w:hAnsi="Verdana"/>
          <w:sz w:val="20"/>
          <w:szCs w:val="20"/>
          <w:lang w:val="en-US"/>
        </w:rPr>
        <w:t xml:space="preserve"> 2002</w:t>
      </w:r>
      <w:proofErr w:type="gramStart"/>
      <w:r w:rsidRPr="00CB39B0">
        <w:rPr>
          <w:rFonts w:ascii="Verdana" w:hAnsi="Verdana"/>
          <w:sz w:val="20"/>
          <w:szCs w:val="20"/>
          <w:lang w:val="en-US"/>
        </w:rPr>
        <w:t>;76:5</w:t>
      </w:r>
      <w:proofErr w:type="gramEnd"/>
      <w:r w:rsidRPr="00CB39B0">
        <w:rPr>
          <w:rFonts w:ascii="Verdana" w:hAnsi="Verdana"/>
          <w:sz w:val="20"/>
          <w:szCs w:val="20"/>
          <w:lang w:val="en-US"/>
        </w:rPr>
        <w:t>-56.         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12. </w:t>
      </w:r>
      <w:proofErr w:type="spellStart"/>
      <w:r w:rsidRPr="00CB39B0">
        <w:rPr>
          <w:rFonts w:ascii="Verdana" w:hAnsi="Verdana"/>
          <w:sz w:val="20"/>
          <w:szCs w:val="20"/>
          <w:lang w:val="en-US"/>
        </w:rPr>
        <w:t>Dansinger</w:t>
      </w:r>
      <w:proofErr w:type="spellEnd"/>
      <w:r w:rsidRPr="00CB39B0">
        <w:rPr>
          <w:rFonts w:ascii="Verdana" w:hAnsi="Verdana"/>
          <w:sz w:val="20"/>
          <w:szCs w:val="20"/>
          <w:lang w:val="en-US"/>
        </w:rPr>
        <w:t xml:space="preserve"> ML, Gleason JA, Griffith JL, </w:t>
      </w:r>
      <w:proofErr w:type="spellStart"/>
      <w:r w:rsidRPr="00CB39B0">
        <w:rPr>
          <w:rFonts w:ascii="Verdana" w:hAnsi="Verdana"/>
          <w:sz w:val="20"/>
          <w:szCs w:val="20"/>
          <w:lang w:val="en-US"/>
        </w:rPr>
        <w:t>Selker</w:t>
      </w:r>
      <w:proofErr w:type="spellEnd"/>
      <w:r w:rsidRPr="00CB39B0">
        <w:rPr>
          <w:rFonts w:ascii="Verdana" w:hAnsi="Verdana"/>
          <w:sz w:val="20"/>
          <w:szCs w:val="20"/>
          <w:lang w:val="en-US"/>
        </w:rPr>
        <w:t xml:space="preserve"> HP, Schaefer EJ. Comparison of the Atkins, </w:t>
      </w:r>
      <w:proofErr w:type="spellStart"/>
      <w:r w:rsidRPr="00CB39B0">
        <w:rPr>
          <w:rFonts w:ascii="Verdana" w:hAnsi="Verdana"/>
          <w:sz w:val="20"/>
          <w:szCs w:val="20"/>
          <w:lang w:val="en-US"/>
        </w:rPr>
        <w:t>Ornish</w:t>
      </w:r>
      <w:proofErr w:type="spellEnd"/>
      <w:r w:rsidRPr="00CB39B0">
        <w:rPr>
          <w:rFonts w:ascii="Verdana" w:hAnsi="Verdana"/>
          <w:sz w:val="20"/>
          <w:szCs w:val="20"/>
          <w:lang w:val="en-US"/>
        </w:rPr>
        <w:t xml:space="preserve">, weight watchers, and zone diets for weight loss and heart disease risk reduction: a randomized trial. </w:t>
      </w:r>
      <w:proofErr w:type="gramStart"/>
      <w:r w:rsidRPr="00CB39B0">
        <w:rPr>
          <w:rFonts w:ascii="Verdana" w:hAnsi="Verdana"/>
          <w:sz w:val="20"/>
          <w:szCs w:val="20"/>
          <w:lang w:val="en-US"/>
        </w:rPr>
        <w:t>JAMA.</w:t>
      </w:r>
      <w:proofErr w:type="gramEnd"/>
      <w:r w:rsidRPr="00CB39B0">
        <w:rPr>
          <w:rFonts w:ascii="Verdana" w:hAnsi="Verdana"/>
          <w:sz w:val="20"/>
          <w:szCs w:val="20"/>
          <w:lang w:val="en-US"/>
        </w:rPr>
        <w:t xml:space="preserve"> 2005</w:t>
      </w:r>
      <w:proofErr w:type="gramStart"/>
      <w:r w:rsidRPr="00CB39B0">
        <w:rPr>
          <w:rFonts w:ascii="Verdana" w:hAnsi="Verdana"/>
          <w:sz w:val="20"/>
          <w:szCs w:val="20"/>
          <w:lang w:val="en-US"/>
        </w:rPr>
        <w:t>;293:43</w:t>
      </w:r>
      <w:proofErr w:type="gramEnd"/>
      <w:r w:rsidRPr="00CB39B0">
        <w:rPr>
          <w:rFonts w:ascii="Verdana" w:hAnsi="Verdana"/>
          <w:sz w:val="20"/>
          <w:szCs w:val="20"/>
          <w:lang w:val="en-US"/>
        </w:rPr>
        <w:t>-53.         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13. Franz MJ, Van Wormer JJ, Crain AL, Boucher JL, </w:t>
      </w:r>
      <w:proofErr w:type="spellStart"/>
      <w:r w:rsidRPr="00CB39B0">
        <w:rPr>
          <w:rFonts w:ascii="Verdana" w:hAnsi="Verdana"/>
          <w:sz w:val="20"/>
          <w:szCs w:val="20"/>
          <w:lang w:val="en-US"/>
        </w:rPr>
        <w:t>Histon</w:t>
      </w:r>
      <w:proofErr w:type="spellEnd"/>
      <w:r w:rsidRPr="00CB39B0">
        <w:rPr>
          <w:rFonts w:ascii="Verdana" w:hAnsi="Verdana"/>
          <w:sz w:val="20"/>
          <w:szCs w:val="20"/>
          <w:lang w:val="en-US"/>
        </w:rPr>
        <w:t xml:space="preserve"> T, </w:t>
      </w:r>
      <w:proofErr w:type="spellStart"/>
      <w:r w:rsidRPr="00CB39B0">
        <w:rPr>
          <w:rFonts w:ascii="Verdana" w:hAnsi="Verdana"/>
          <w:sz w:val="20"/>
          <w:szCs w:val="20"/>
          <w:lang w:val="en-US"/>
        </w:rPr>
        <w:t>Caplan</w:t>
      </w:r>
      <w:proofErr w:type="spellEnd"/>
      <w:r w:rsidRPr="00CB39B0">
        <w:rPr>
          <w:rFonts w:ascii="Verdana" w:hAnsi="Verdana"/>
          <w:sz w:val="20"/>
          <w:szCs w:val="20"/>
          <w:lang w:val="en-US"/>
        </w:rPr>
        <w:t xml:space="preserve"> W, et al. Weight-loss outcomes: a systematic review and meta-analysis of weight-loss clinical trials with a minimum 1-year follow-up. J Am Diet Assoc. 2007</w:t>
      </w:r>
      <w:proofErr w:type="gramStart"/>
      <w:r w:rsidRPr="00CB39B0">
        <w:rPr>
          <w:rFonts w:ascii="Verdana" w:hAnsi="Verdana"/>
          <w:sz w:val="20"/>
          <w:szCs w:val="20"/>
          <w:lang w:val="en-US"/>
        </w:rPr>
        <w:t>;107</w:t>
      </w:r>
      <w:proofErr w:type="gramEnd"/>
      <w:r w:rsidRPr="00CB39B0">
        <w:rPr>
          <w:rFonts w:ascii="Verdana" w:hAnsi="Verdana"/>
          <w:sz w:val="20"/>
          <w:szCs w:val="20"/>
          <w:lang w:val="en-US"/>
        </w:rPr>
        <w:t>(10):1755-67.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14. Due </w:t>
      </w:r>
      <w:proofErr w:type="gramStart"/>
      <w:r w:rsidRPr="00CB39B0">
        <w:rPr>
          <w:rFonts w:ascii="Verdana" w:hAnsi="Verdana"/>
          <w:sz w:val="20"/>
          <w:szCs w:val="20"/>
          <w:lang w:val="en-US"/>
        </w:rPr>
        <w:t>A</w:t>
      </w:r>
      <w:proofErr w:type="gramEnd"/>
      <w:r w:rsidRPr="00CB39B0">
        <w:rPr>
          <w:rFonts w:ascii="Verdana" w:hAnsi="Verdana"/>
          <w:sz w:val="20"/>
          <w:szCs w:val="20"/>
          <w:lang w:val="en-US"/>
        </w:rPr>
        <w:t xml:space="preserve">, Toubro S, </w:t>
      </w:r>
      <w:proofErr w:type="spellStart"/>
      <w:r w:rsidRPr="00CB39B0">
        <w:rPr>
          <w:rFonts w:ascii="Verdana" w:hAnsi="Verdana"/>
          <w:sz w:val="20"/>
          <w:szCs w:val="20"/>
          <w:lang w:val="en-US"/>
        </w:rPr>
        <w:t>Skov</w:t>
      </w:r>
      <w:proofErr w:type="spellEnd"/>
      <w:r w:rsidRPr="00CB39B0">
        <w:rPr>
          <w:rFonts w:ascii="Verdana" w:hAnsi="Verdana"/>
          <w:sz w:val="20"/>
          <w:szCs w:val="20"/>
          <w:lang w:val="en-US"/>
        </w:rPr>
        <w:t xml:space="preserve"> AR, </w:t>
      </w:r>
      <w:proofErr w:type="spellStart"/>
      <w:r w:rsidRPr="00CB39B0">
        <w:rPr>
          <w:rFonts w:ascii="Verdana" w:hAnsi="Verdana"/>
          <w:sz w:val="20"/>
          <w:szCs w:val="20"/>
          <w:lang w:val="en-US"/>
        </w:rPr>
        <w:t>Astrup</w:t>
      </w:r>
      <w:proofErr w:type="spellEnd"/>
      <w:r w:rsidRPr="00CB39B0">
        <w:rPr>
          <w:rFonts w:ascii="Verdana" w:hAnsi="Verdana"/>
          <w:sz w:val="20"/>
          <w:szCs w:val="20"/>
          <w:lang w:val="en-US"/>
        </w:rPr>
        <w:t xml:space="preserve"> A. Effect of normal-fat diets, either medium or high in protein, on body weight in overweight subjects: a randomized 1-year trial. </w:t>
      </w:r>
      <w:proofErr w:type="spellStart"/>
      <w:r w:rsidRPr="00CB39B0">
        <w:rPr>
          <w:rFonts w:ascii="Verdana" w:hAnsi="Verdana"/>
          <w:sz w:val="20"/>
          <w:szCs w:val="20"/>
          <w:lang w:val="en-US"/>
        </w:rPr>
        <w:t>Int</w:t>
      </w:r>
      <w:proofErr w:type="spellEnd"/>
      <w:r w:rsidRPr="00CB39B0">
        <w:rPr>
          <w:rFonts w:ascii="Verdana" w:hAnsi="Verdana"/>
          <w:sz w:val="20"/>
          <w:szCs w:val="20"/>
          <w:lang w:val="en-US"/>
        </w:rPr>
        <w:t xml:space="preserve"> J </w:t>
      </w:r>
      <w:proofErr w:type="spellStart"/>
      <w:r w:rsidRPr="00CB39B0">
        <w:rPr>
          <w:rFonts w:ascii="Verdana" w:hAnsi="Verdana"/>
          <w:sz w:val="20"/>
          <w:szCs w:val="20"/>
          <w:lang w:val="en-US"/>
        </w:rPr>
        <w:t>Obes</w:t>
      </w:r>
      <w:proofErr w:type="spellEnd"/>
      <w:r w:rsidRPr="00CB39B0">
        <w:rPr>
          <w:rFonts w:ascii="Verdana" w:hAnsi="Verdana"/>
          <w:sz w:val="20"/>
          <w:szCs w:val="20"/>
          <w:lang w:val="en-US"/>
        </w:rPr>
        <w:t>. 2004</w:t>
      </w:r>
      <w:proofErr w:type="gramStart"/>
      <w:r w:rsidRPr="00CB39B0">
        <w:rPr>
          <w:rFonts w:ascii="Verdana" w:hAnsi="Verdana"/>
          <w:sz w:val="20"/>
          <w:szCs w:val="20"/>
          <w:lang w:val="en-US"/>
        </w:rPr>
        <w:t>;28:1283</w:t>
      </w:r>
      <w:proofErr w:type="gramEnd"/>
      <w:r w:rsidRPr="00CB39B0">
        <w:rPr>
          <w:rFonts w:ascii="Verdana" w:hAnsi="Verdana"/>
          <w:sz w:val="20"/>
          <w:szCs w:val="20"/>
          <w:lang w:val="en-US"/>
        </w:rPr>
        <w:t>-90.         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15. Li Z, Hong K, </w:t>
      </w:r>
      <w:proofErr w:type="spellStart"/>
      <w:r w:rsidRPr="00CB39B0">
        <w:rPr>
          <w:rFonts w:ascii="Verdana" w:hAnsi="Verdana"/>
          <w:sz w:val="20"/>
          <w:szCs w:val="20"/>
          <w:lang w:val="en-US"/>
        </w:rPr>
        <w:t>Saltsman</w:t>
      </w:r>
      <w:proofErr w:type="spellEnd"/>
      <w:r w:rsidRPr="00CB39B0">
        <w:rPr>
          <w:rFonts w:ascii="Verdana" w:hAnsi="Verdana"/>
          <w:sz w:val="20"/>
          <w:szCs w:val="20"/>
          <w:lang w:val="en-US"/>
        </w:rPr>
        <w:t xml:space="preserve"> P, </w:t>
      </w:r>
      <w:proofErr w:type="spellStart"/>
      <w:r w:rsidRPr="00CB39B0">
        <w:rPr>
          <w:rFonts w:ascii="Verdana" w:hAnsi="Verdana"/>
          <w:sz w:val="20"/>
          <w:szCs w:val="20"/>
          <w:lang w:val="en-US"/>
        </w:rPr>
        <w:t>DeShields</w:t>
      </w:r>
      <w:proofErr w:type="spellEnd"/>
      <w:r w:rsidRPr="00CB39B0">
        <w:rPr>
          <w:rFonts w:ascii="Verdana" w:hAnsi="Verdana"/>
          <w:sz w:val="20"/>
          <w:szCs w:val="20"/>
          <w:lang w:val="en-US"/>
        </w:rPr>
        <w:t xml:space="preserve"> S, Bellman M, Thames G, et al. Long-term efficacy of soy-based meal replacements </w:t>
      </w:r>
      <w:proofErr w:type="spellStart"/>
      <w:r w:rsidRPr="00CB39B0">
        <w:rPr>
          <w:rFonts w:ascii="Verdana" w:hAnsi="Verdana"/>
          <w:sz w:val="20"/>
          <w:szCs w:val="20"/>
          <w:lang w:val="en-US"/>
        </w:rPr>
        <w:t>vs</w:t>
      </w:r>
      <w:proofErr w:type="spellEnd"/>
      <w:r w:rsidRPr="00CB39B0">
        <w:rPr>
          <w:rFonts w:ascii="Verdana" w:hAnsi="Verdana"/>
          <w:sz w:val="20"/>
          <w:szCs w:val="20"/>
          <w:lang w:val="en-US"/>
        </w:rPr>
        <w:t xml:space="preserve"> an individualized diet plan in obese type II DM patients: relative effects on weight loss, metabolic parameters, and C-reactive protein. </w:t>
      </w:r>
      <w:proofErr w:type="spellStart"/>
      <w:r w:rsidRPr="00CB39B0">
        <w:rPr>
          <w:rFonts w:ascii="Verdana" w:hAnsi="Verdana"/>
          <w:sz w:val="20"/>
          <w:szCs w:val="20"/>
          <w:lang w:val="en-US"/>
        </w:rPr>
        <w:t>Eur</w:t>
      </w:r>
      <w:proofErr w:type="spellEnd"/>
      <w:r w:rsidRPr="00CB39B0">
        <w:rPr>
          <w:rFonts w:ascii="Verdana" w:hAnsi="Verdana"/>
          <w:sz w:val="20"/>
          <w:szCs w:val="20"/>
          <w:lang w:val="en-US"/>
        </w:rPr>
        <w:t xml:space="preserve"> J </w:t>
      </w:r>
      <w:proofErr w:type="spellStart"/>
      <w:r w:rsidRPr="00CB39B0">
        <w:rPr>
          <w:rFonts w:ascii="Verdana" w:hAnsi="Verdana"/>
          <w:sz w:val="20"/>
          <w:szCs w:val="20"/>
          <w:lang w:val="en-US"/>
        </w:rPr>
        <w:t>Clin</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Nutr</w:t>
      </w:r>
      <w:proofErr w:type="spellEnd"/>
      <w:r w:rsidRPr="00CB39B0">
        <w:rPr>
          <w:rFonts w:ascii="Verdana" w:hAnsi="Verdana"/>
          <w:sz w:val="20"/>
          <w:szCs w:val="20"/>
          <w:lang w:val="en-US"/>
        </w:rPr>
        <w:t>. 2005</w:t>
      </w:r>
      <w:proofErr w:type="gramStart"/>
      <w:r w:rsidRPr="00CB39B0">
        <w:rPr>
          <w:rFonts w:ascii="Verdana" w:hAnsi="Verdana"/>
          <w:sz w:val="20"/>
          <w:szCs w:val="20"/>
          <w:lang w:val="en-US"/>
        </w:rPr>
        <w:t>;59</w:t>
      </w:r>
      <w:proofErr w:type="gramEnd"/>
      <w:r w:rsidRPr="00CB39B0">
        <w:rPr>
          <w:rFonts w:ascii="Verdana" w:hAnsi="Verdana"/>
          <w:sz w:val="20"/>
          <w:szCs w:val="20"/>
          <w:lang w:val="en-US"/>
        </w:rPr>
        <w:t>(3):411-8.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16. Rolls BJ, Roe LS, Beach AM, Kris-</w:t>
      </w:r>
      <w:proofErr w:type="spellStart"/>
      <w:r w:rsidRPr="00CB39B0">
        <w:rPr>
          <w:rFonts w:ascii="Verdana" w:hAnsi="Verdana"/>
          <w:sz w:val="20"/>
          <w:szCs w:val="20"/>
          <w:lang w:val="en-US"/>
        </w:rPr>
        <w:t>Etherton</w:t>
      </w:r>
      <w:proofErr w:type="spellEnd"/>
      <w:r w:rsidRPr="00CB39B0">
        <w:rPr>
          <w:rFonts w:ascii="Verdana" w:hAnsi="Verdana"/>
          <w:sz w:val="20"/>
          <w:szCs w:val="20"/>
          <w:lang w:val="en-US"/>
        </w:rPr>
        <w:t xml:space="preserve"> PM. Provision of foods differing in energy density affects long-term weight loss. </w:t>
      </w:r>
      <w:proofErr w:type="gramStart"/>
      <w:r w:rsidRPr="00CB39B0">
        <w:rPr>
          <w:rFonts w:ascii="Verdana" w:hAnsi="Verdana"/>
          <w:sz w:val="20"/>
          <w:szCs w:val="20"/>
          <w:lang w:val="en-US"/>
        </w:rPr>
        <w:t>Obesity Research.</w:t>
      </w:r>
      <w:proofErr w:type="gramEnd"/>
      <w:r w:rsidRPr="00CB39B0">
        <w:rPr>
          <w:rFonts w:ascii="Verdana" w:hAnsi="Verdana"/>
          <w:sz w:val="20"/>
          <w:szCs w:val="20"/>
          <w:lang w:val="en-US"/>
        </w:rPr>
        <w:t xml:space="preserve"> 2005</w:t>
      </w:r>
      <w:proofErr w:type="gramStart"/>
      <w:r w:rsidRPr="00CB39B0">
        <w:rPr>
          <w:rFonts w:ascii="Verdana" w:hAnsi="Verdana"/>
          <w:sz w:val="20"/>
          <w:szCs w:val="20"/>
          <w:lang w:val="en-US"/>
        </w:rPr>
        <w:t>;13</w:t>
      </w:r>
      <w:proofErr w:type="gramEnd"/>
      <w:r w:rsidRPr="00CB39B0">
        <w:rPr>
          <w:rFonts w:ascii="Verdana" w:hAnsi="Verdana"/>
          <w:sz w:val="20"/>
          <w:szCs w:val="20"/>
          <w:lang w:val="en-US"/>
        </w:rPr>
        <w:t>(6):1052-60.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17. Thompson WG, </w:t>
      </w:r>
      <w:proofErr w:type="spellStart"/>
      <w:r w:rsidRPr="00CB39B0">
        <w:rPr>
          <w:rFonts w:ascii="Verdana" w:hAnsi="Verdana"/>
          <w:sz w:val="20"/>
          <w:szCs w:val="20"/>
          <w:lang w:val="en-US"/>
        </w:rPr>
        <w:t>Rostad</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Holdman</w:t>
      </w:r>
      <w:proofErr w:type="spellEnd"/>
      <w:r w:rsidRPr="00CB39B0">
        <w:rPr>
          <w:rFonts w:ascii="Verdana" w:hAnsi="Verdana"/>
          <w:sz w:val="20"/>
          <w:szCs w:val="20"/>
          <w:lang w:val="en-US"/>
        </w:rPr>
        <w:t xml:space="preserve"> N, </w:t>
      </w:r>
      <w:proofErr w:type="spellStart"/>
      <w:r w:rsidRPr="00CB39B0">
        <w:rPr>
          <w:rFonts w:ascii="Verdana" w:hAnsi="Verdana"/>
          <w:sz w:val="20"/>
          <w:szCs w:val="20"/>
          <w:lang w:val="en-US"/>
        </w:rPr>
        <w:t>Janzow</w:t>
      </w:r>
      <w:proofErr w:type="spellEnd"/>
      <w:r w:rsidRPr="00CB39B0">
        <w:rPr>
          <w:rFonts w:ascii="Verdana" w:hAnsi="Verdana"/>
          <w:sz w:val="20"/>
          <w:szCs w:val="20"/>
          <w:lang w:val="en-US"/>
        </w:rPr>
        <w:t xml:space="preserve"> DJ, </w:t>
      </w:r>
      <w:proofErr w:type="spellStart"/>
      <w:r w:rsidRPr="00CB39B0">
        <w:rPr>
          <w:rFonts w:ascii="Verdana" w:hAnsi="Verdana"/>
          <w:sz w:val="20"/>
          <w:szCs w:val="20"/>
          <w:lang w:val="en-US"/>
        </w:rPr>
        <w:t>Slezak</w:t>
      </w:r>
      <w:proofErr w:type="spellEnd"/>
      <w:r w:rsidRPr="00CB39B0">
        <w:rPr>
          <w:rFonts w:ascii="Verdana" w:hAnsi="Verdana"/>
          <w:sz w:val="20"/>
          <w:szCs w:val="20"/>
          <w:lang w:val="en-US"/>
        </w:rPr>
        <w:t xml:space="preserve"> JM, Morris KL, </w:t>
      </w:r>
      <w:proofErr w:type="spellStart"/>
      <w:r w:rsidRPr="00CB39B0">
        <w:rPr>
          <w:rFonts w:ascii="Verdana" w:hAnsi="Verdana"/>
          <w:sz w:val="20"/>
          <w:szCs w:val="20"/>
          <w:lang w:val="en-US"/>
        </w:rPr>
        <w:t>Zemel</w:t>
      </w:r>
      <w:proofErr w:type="spellEnd"/>
      <w:r w:rsidRPr="00CB39B0">
        <w:rPr>
          <w:rFonts w:ascii="Verdana" w:hAnsi="Verdana"/>
          <w:sz w:val="20"/>
          <w:szCs w:val="20"/>
          <w:lang w:val="en-US"/>
        </w:rPr>
        <w:t xml:space="preserve"> MB. </w:t>
      </w:r>
      <w:proofErr w:type="gramStart"/>
      <w:r w:rsidRPr="00CB39B0">
        <w:rPr>
          <w:rFonts w:ascii="Verdana" w:hAnsi="Verdana"/>
          <w:sz w:val="20"/>
          <w:szCs w:val="20"/>
          <w:lang w:val="en-US"/>
        </w:rPr>
        <w:t>Effect of energy-reduced diets high in dairy products and fiber on weight loss in obese adults.</w:t>
      </w:r>
      <w:proofErr w:type="gramEnd"/>
      <w:r w:rsidRPr="00CB39B0">
        <w:rPr>
          <w:rFonts w:ascii="Verdana" w:hAnsi="Verdana"/>
          <w:sz w:val="20"/>
          <w:szCs w:val="20"/>
          <w:lang w:val="en-US"/>
        </w:rPr>
        <w:t xml:space="preserve"> </w:t>
      </w:r>
      <w:proofErr w:type="spellStart"/>
      <w:r w:rsidRPr="00CB39B0">
        <w:rPr>
          <w:rFonts w:ascii="Verdana" w:hAnsi="Verdana"/>
          <w:sz w:val="20"/>
          <w:szCs w:val="20"/>
          <w:lang w:val="en-US"/>
        </w:rPr>
        <w:t>Obes</w:t>
      </w:r>
      <w:proofErr w:type="spellEnd"/>
      <w:r w:rsidRPr="00CB39B0">
        <w:rPr>
          <w:rFonts w:ascii="Verdana" w:hAnsi="Verdana"/>
          <w:sz w:val="20"/>
          <w:szCs w:val="20"/>
          <w:lang w:val="en-US"/>
        </w:rPr>
        <w:t xml:space="preserve"> Res. 2005</w:t>
      </w:r>
      <w:proofErr w:type="gramStart"/>
      <w:r w:rsidRPr="00CB39B0">
        <w:rPr>
          <w:rFonts w:ascii="Verdana" w:hAnsi="Verdana"/>
          <w:sz w:val="20"/>
          <w:szCs w:val="20"/>
          <w:lang w:val="en-US"/>
        </w:rPr>
        <w:t>;13</w:t>
      </w:r>
      <w:proofErr w:type="gramEnd"/>
      <w:r w:rsidRPr="00CB39B0">
        <w:rPr>
          <w:rFonts w:ascii="Verdana" w:hAnsi="Verdana"/>
          <w:sz w:val="20"/>
          <w:szCs w:val="20"/>
          <w:lang w:val="en-US"/>
        </w:rPr>
        <w:t>(8):1344-53</w:t>
      </w:r>
      <w:r w:rsidRPr="00CB39B0">
        <w:rPr>
          <w:lang w:val="en-US"/>
        </w:rPr>
        <w:t>        [ </w:t>
      </w:r>
      <w:r w:rsidR="00091405">
        <w:fldChar w:fldCharType="begin"/>
      </w:r>
      <w:r w:rsidR="00091405" w:rsidRPr="00E07ACC">
        <w:rPr>
          <w:lang w:val="en-US"/>
        </w:rPr>
        <w:instrText>HYPERLINK "javascript:void(0);"</w:instrText>
      </w:r>
      <w:r w:rsidR="00091405">
        <w:fldChar w:fldCharType="separate"/>
      </w:r>
      <w:r w:rsidRPr="00CB39B0">
        <w:rPr>
          <w:rStyle w:val="Hyperlink"/>
          <w:lang w:val="en-US"/>
        </w:rPr>
        <w:t>Links</w:t>
      </w:r>
      <w:r w:rsidR="00091405">
        <w:fldChar w:fldCharType="end"/>
      </w:r>
      <w:r w:rsidRPr="00CB39B0">
        <w:rPr>
          <w:lang w:val="en-US"/>
        </w:rPr>
        <w:t> ]</w:t>
      </w:r>
    </w:p>
    <w:p w:rsidR="00CB39B0" w:rsidRPr="00CB39B0" w:rsidRDefault="00CB39B0" w:rsidP="00CB39B0">
      <w:pPr>
        <w:pStyle w:val="NormalWeb"/>
        <w:rPr>
          <w:lang w:val="en-US"/>
        </w:rPr>
      </w:pPr>
      <w:r w:rsidRPr="00CB39B0">
        <w:rPr>
          <w:rFonts w:ascii="Verdana" w:hAnsi="Verdana"/>
          <w:sz w:val="20"/>
          <w:szCs w:val="20"/>
          <w:lang w:val="en-US"/>
        </w:rPr>
        <w:lastRenderedPageBreak/>
        <w:t xml:space="preserve">18. </w:t>
      </w:r>
      <w:proofErr w:type="spellStart"/>
      <w:r w:rsidRPr="00CB39B0">
        <w:rPr>
          <w:rFonts w:ascii="Verdana" w:hAnsi="Verdana"/>
          <w:sz w:val="20"/>
          <w:szCs w:val="20"/>
          <w:lang w:val="en-US"/>
        </w:rPr>
        <w:t>McAuley</w:t>
      </w:r>
      <w:proofErr w:type="spellEnd"/>
      <w:r w:rsidRPr="00CB39B0">
        <w:rPr>
          <w:rFonts w:ascii="Verdana" w:hAnsi="Verdana"/>
          <w:sz w:val="20"/>
          <w:szCs w:val="20"/>
          <w:lang w:val="en-US"/>
        </w:rPr>
        <w:t xml:space="preserve"> KA, Smith KJ, Taylor RW, </w:t>
      </w:r>
      <w:proofErr w:type="spellStart"/>
      <w:r w:rsidRPr="00CB39B0">
        <w:rPr>
          <w:rFonts w:ascii="Verdana" w:hAnsi="Verdana"/>
          <w:sz w:val="20"/>
          <w:szCs w:val="20"/>
          <w:lang w:val="en-US"/>
        </w:rPr>
        <w:t>McLay</w:t>
      </w:r>
      <w:proofErr w:type="spellEnd"/>
      <w:r w:rsidRPr="00CB39B0">
        <w:rPr>
          <w:rFonts w:ascii="Verdana" w:hAnsi="Verdana"/>
          <w:sz w:val="20"/>
          <w:szCs w:val="20"/>
          <w:lang w:val="en-US"/>
        </w:rPr>
        <w:t xml:space="preserve"> RT, Williams SM, Mann JI. </w:t>
      </w:r>
      <w:proofErr w:type="gramStart"/>
      <w:r w:rsidRPr="00CB39B0">
        <w:rPr>
          <w:rFonts w:ascii="Verdana" w:hAnsi="Verdana"/>
          <w:sz w:val="20"/>
          <w:szCs w:val="20"/>
          <w:lang w:val="en-US"/>
        </w:rPr>
        <w:t>Long-term effects of popular dietary approaches on weight loss and features of insulin resistance.</w:t>
      </w:r>
      <w:proofErr w:type="gramEnd"/>
      <w:r w:rsidRPr="00CB39B0">
        <w:rPr>
          <w:rFonts w:ascii="Verdana" w:hAnsi="Verdana"/>
          <w:sz w:val="20"/>
          <w:szCs w:val="20"/>
          <w:lang w:val="en-US"/>
        </w:rPr>
        <w:t xml:space="preserve"> </w:t>
      </w:r>
      <w:proofErr w:type="spellStart"/>
      <w:r w:rsidRPr="00CB39B0">
        <w:rPr>
          <w:rFonts w:ascii="Verdana" w:hAnsi="Verdana"/>
          <w:sz w:val="20"/>
          <w:szCs w:val="20"/>
          <w:lang w:val="en-US"/>
        </w:rPr>
        <w:t>Int</w:t>
      </w:r>
      <w:proofErr w:type="spellEnd"/>
      <w:r w:rsidRPr="00CB39B0">
        <w:rPr>
          <w:rFonts w:ascii="Verdana" w:hAnsi="Verdana"/>
          <w:sz w:val="20"/>
          <w:szCs w:val="20"/>
          <w:lang w:val="en-US"/>
        </w:rPr>
        <w:t xml:space="preserve"> J </w:t>
      </w:r>
      <w:proofErr w:type="spellStart"/>
      <w:r w:rsidRPr="00CB39B0">
        <w:rPr>
          <w:rFonts w:ascii="Verdana" w:hAnsi="Verdana"/>
          <w:sz w:val="20"/>
          <w:szCs w:val="20"/>
          <w:lang w:val="en-US"/>
        </w:rPr>
        <w:t>Obes</w:t>
      </w:r>
      <w:proofErr w:type="spellEnd"/>
      <w:r w:rsidRPr="00CB39B0">
        <w:rPr>
          <w:rFonts w:ascii="Verdana" w:hAnsi="Verdana"/>
          <w:sz w:val="20"/>
          <w:szCs w:val="20"/>
          <w:lang w:val="en-US"/>
        </w:rPr>
        <w:t>. 2006</w:t>
      </w:r>
      <w:proofErr w:type="gramStart"/>
      <w:r w:rsidRPr="00CB39B0">
        <w:rPr>
          <w:rFonts w:ascii="Verdana" w:hAnsi="Verdana"/>
          <w:sz w:val="20"/>
          <w:szCs w:val="20"/>
          <w:lang w:val="en-US"/>
        </w:rPr>
        <w:t>;30</w:t>
      </w:r>
      <w:proofErr w:type="gramEnd"/>
      <w:r w:rsidRPr="00CB39B0">
        <w:rPr>
          <w:rFonts w:ascii="Verdana" w:hAnsi="Verdana"/>
          <w:sz w:val="20"/>
          <w:szCs w:val="20"/>
          <w:lang w:val="en-US"/>
        </w:rPr>
        <w:t>(2):342-9.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19. Ashley JM, Herzog H, </w:t>
      </w:r>
      <w:proofErr w:type="spellStart"/>
      <w:r w:rsidRPr="00CB39B0">
        <w:rPr>
          <w:rFonts w:ascii="Verdana" w:hAnsi="Verdana"/>
          <w:sz w:val="20"/>
          <w:szCs w:val="20"/>
          <w:lang w:val="en-US"/>
        </w:rPr>
        <w:t>Clodfelter</w:t>
      </w:r>
      <w:proofErr w:type="spellEnd"/>
      <w:r w:rsidRPr="00CB39B0">
        <w:rPr>
          <w:rFonts w:ascii="Verdana" w:hAnsi="Verdana"/>
          <w:sz w:val="20"/>
          <w:szCs w:val="20"/>
          <w:lang w:val="en-US"/>
        </w:rPr>
        <w:t xml:space="preserve"> S, </w:t>
      </w:r>
      <w:proofErr w:type="spellStart"/>
      <w:r w:rsidRPr="00CB39B0">
        <w:rPr>
          <w:rFonts w:ascii="Verdana" w:hAnsi="Verdana"/>
          <w:sz w:val="20"/>
          <w:szCs w:val="20"/>
          <w:lang w:val="en-US"/>
        </w:rPr>
        <w:t>Bovee</w:t>
      </w:r>
      <w:proofErr w:type="spellEnd"/>
      <w:r w:rsidRPr="00CB39B0">
        <w:rPr>
          <w:rFonts w:ascii="Verdana" w:hAnsi="Verdana"/>
          <w:sz w:val="20"/>
          <w:szCs w:val="20"/>
          <w:lang w:val="en-US"/>
        </w:rPr>
        <w:t xml:space="preserve"> V, Schrage J, </w:t>
      </w:r>
      <w:proofErr w:type="spellStart"/>
      <w:r w:rsidRPr="00CB39B0">
        <w:rPr>
          <w:rFonts w:ascii="Verdana" w:hAnsi="Verdana"/>
          <w:sz w:val="20"/>
          <w:szCs w:val="20"/>
          <w:lang w:val="en-US"/>
        </w:rPr>
        <w:t>Pritsos</w:t>
      </w:r>
      <w:proofErr w:type="spellEnd"/>
      <w:r w:rsidRPr="00CB39B0">
        <w:rPr>
          <w:rFonts w:ascii="Verdana" w:hAnsi="Verdana"/>
          <w:sz w:val="20"/>
          <w:szCs w:val="20"/>
          <w:lang w:val="en-US"/>
        </w:rPr>
        <w:t xml:space="preserve"> C. Nutrient adequacy during weight loss interventions: a randomized study in women comparing the dietary intake in a meal replacement group with a traditional food group. </w:t>
      </w:r>
      <w:proofErr w:type="spellStart"/>
      <w:r w:rsidRPr="00CB39B0">
        <w:rPr>
          <w:rFonts w:ascii="Verdana" w:hAnsi="Verdana"/>
          <w:sz w:val="20"/>
          <w:szCs w:val="20"/>
          <w:lang w:val="en-US"/>
        </w:rPr>
        <w:t>Nutr</w:t>
      </w:r>
      <w:proofErr w:type="spellEnd"/>
      <w:r w:rsidRPr="00CB39B0">
        <w:rPr>
          <w:rFonts w:ascii="Verdana" w:hAnsi="Verdana"/>
          <w:sz w:val="20"/>
          <w:szCs w:val="20"/>
          <w:lang w:val="en-US"/>
        </w:rPr>
        <w:t xml:space="preserve"> J. 2007</w:t>
      </w:r>
      <w:proofErr w:type="gramStart"/>
      <w:r w:rsidRPr="00CB39B0">
        <w:rPr>
          <w:rFonts w:ascii="Verdana" w:hAnsi="Verdana"/>
          <w:sz w:val="20"/>
          <w:szCs w:val="20"/>
          <w:lang w:val="en-US"/>
        </w:rPr>
        <w:t>;6:12</w:t>
      </w:r>
      <w:proofErr w:type="gramEnd"/>
      <w:r w:rsidRPr="00CB39B0">
        <w:rPr>
          <w:rFonts w:ascii="Verdana" w:hAnsi="Verdana"/>
          <w:sz w:val="20"/>
          <w:szCs w:val="20"/>
          <w:lang w:val="en-US"/>
        </w:rPr>
        <w:t>.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20. Burke LE, Hudson AG, </w:t>
      </w:r>
      <w:proofErr w:type="spellStart"/>
      <w:r w:rsidRPr="00CB39B0">
        <w:rPr>
          <w:rFonts w:ascii="Verdana" w:hAnsi="Verdana"/>
          <w:sz w:val="20"/>
          <w:szCs w:val="20"/>
          <w:lang w:val="en-US"/>
        </w:rPr>
        <w:t>Warziski</w:t>
      </w:r>
      <w:proofErr w:type="spellEnd"/>
      <w:r w:rsidRPr="00CB39B0">
        <w:rPr>
          <w:rFonts w:ascii="Verdana" w:hAnsi="Verdana"/>
          <w:sz w:val="20"/>
          <w:szCs w:val="20"/>
          <w:lang w:val="en-US"/>
        </w:rPr>
        <w:t xml:space="preserve"> MT, </w:t>
      </w:r>
      <w:proofErr w:type="spellStart"/>
      <w:r w:rsidRPr="00CB39B0">
        <w:rPr>
          <w:rFonts w:ascii="Verdana" w:hAnsi="Verdana"/>
          <w:sz w:val="20"/>
          <w:szCs w:val="20"/>
          <w:lang w:val="en-US"/>
        </w:rPr>
        <w:t>Styn</w:t>
      </w:r>
      <w:proofErr w:type="spellEnd"/>
      <w:r w:rsidRPr="00CB39B0">
        <w:rPr>
          <w:rFonts w:ascii="Verdana" w:hAnsi="Verdana"/>
          <w:sz w:val="20"/>
          <w:szCs w:val="20"/>
          <w:lang w:val="en-US"/>
        </w:rPr>
        <w:t xml:space="preserve"> MA, Music E, </w:t>
      </w:r>
      <w:proofErr w:type="spellStart"/>
      <w:r w:rsidRPr="00CB39B0">
        <w:rPr>
          <w:rFonts w:ascii="Verdana" w:hAnsi="Verdana"/>
          <w:sz w:val="20"/>
          <w:szCs w:val="20"/>
          <w:lang w:val="en-US"/>
        </w:rPr>
        <w:t>Elci</w:t>
      </w:r>
      <w:proofErr w:type="spellEnd"/>
      <w:r w:rsidRPr="00CB39B0">
        <w:rPr>
          <w:rFonts w:ascii="Verdana" w:hAnsi="Verdana"/>
          <w:sz w:val="20"/>
          <w:szCs w:val="20"/>
          <w:lang w:val="en-US"/>
        </w:rPr>
        <w:t xml:space="preserve"> OU, et al. Effects of a vegetarian diet and treatment preference on biochemical and dietary variables in overweight and obese adults: a randomized clinical trial. </w:t>
      </w:r>
      <w:proofErr w:type="gramStart"/>
      <w:r w:rsidRPr="00CB39B0">
        <w:rPr>
          <w:rFonts w:ascii="Verdana" w:hAnsi="Verdana"/>
          <w:sz w:val="20"/>
          <w:szCs w:val="20"/>
          <w:lang w:val="en-US"/>
        </w:rPr>
        <w:t xml:space="preserve">Am J </w:t>
      </w:r>
      <w:proofErr w:type="spellStart"/>
      <w:r w:rsidRPr="00CB39B0">
        <w:rPr>
          <w:rFonts w:ascii="Verdana" w:hAnsi="Verdana"/>
          <w:sz w:val="20"/>
          <w:szCs w:val="20"/>
          <w:lang w:val="en-US"/>
        </w:rPr>
        <w:t>Clin</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Nutr</w:t>
      </w:r>
      <w:proofErr w:type="spellEnd"/>
      <w:r w:rsidRPr="00CB39B0">
        <w:rPr>
          <w:rFonts w:ascii="Verdana" w:hAnsi="Verdana"/>
          <w:sz w:val="20"/>
          <w:szCs w:val="20"/>
          <w:lang w:val="en-US"/>
        </w:rPr>
        <w:t>.</w:t>
      </w:r>
      <w:proofErr w:type="gramEnd"/>
      <w:r w:rsidRPr="00CB39B0">
        <w:rPr>
          <w:rFonts w:ascii="Verdana" w:hAnsi="Verdana"/>
          <w:sz w:val="20"/>
          <w:szCs w:val="20"/>
          <w:lang w:val="en-US"/>
        </w:rPr>
        <w:t xml:space="preserve"> 2007</w:t>
      </w:r>
      <w:proofErr w:type="gramStart"/>
      <w:r w:rsidRPr="00CB39B0">
        <w:rPr>
          <w:rFonts w:ascii="Verdana" w:hAnsi="Verdana"/>
          <w:sz w:val="20"/>
          <w:szCs w:val="20"/>
          <w:lang w:val="en-US"/>
        </w:rPr>
        <w:t>;86</w:t>
      </w:r>
      <w:proofErr w:type="gramEnd"/>
      <w:r w:rsidRPr="00CB39B0">
        <w:rPr>
          <w:rFonts w:ascii="Verdana" w:hAnsi="Verdana"/>
          <w:sz w:val="20"/>
          <w:szCs w:val="20"/>
          <w:lang w:val="en-US"/>
        </w:rPr>
        <w:t>(3):588-96.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21. Das SK, </w:t>
      </w:r>
      <w:proofErr w:type="spellStart"/>
      <w:r w:rsidRPr="00CB39B0">
        <w:rPr>
          <w:rFonts w:ascii="Verdana" w:hAnsi="Verdana"/>
          <w:sz w:val="20"/>
          <w:szCs w:val="20"/>
          <w:lang w:val="en-US"/>
        </w:rPr>
        <w:t>Gilhooly</w:t>
      </w:r>
      <w:proofErr w:type="spellEnd"/>
      <w:r w:rsidRPr="00CB39B0">
        <w:rPr>
          <w:rFonts w:ascii="Verdana" w:hAnsi="Verdana"/>
          <w:sz w:val="20"/>
          <w:szCs w:val="20"/>
          <w:lang w:val="en-US"/>
        </w:rPr>
        <w:t xml:space="preserve"> CH, Golden JK, </w:t>
      </w:r>
      <w:proofErr w:type="spellStart"/>
      <w:r w:rsidRPr="00CB39B0">
        <w:rPr>
          <w:rFonts w:ascii="Verdana" w:hAnsi="Verdana"/>
          <w:sz w:val="20"/>
          <w:szCs w:val="20"/>
          <w:lang w:val="en-US"/>
        </w:rPr>
        <w:t>Pittas</w:t>
      </w:r>
      <w:proofErr w:type="spellEnd"/>
      <w:r w:rsidRPr="00CB39B0">
        <w:rPr>
          <w:rFonts w:ascii="Verdana" w:hAnsi="Verdana"/>
          <w:sz w:val="20"/>
          <w:szCs w:val="20"/>
          <w:lang w:val="en-US"/>
        </w:rPr>
        <w:t xml:space="preserve"> AG, Fuss PJ, Cheatham RA, et al. Long-term effects of 2 energy-restricted diets differing in </w:t>
      </w:r>
      <w:proofErr w:type="spellStart"/>
      <w:r w:rsidRPr="00CB39B0">
        <w:rPr>
          <w:rFonts w:ascii="Verdana" w:hAnsi="Verdana"/>
          <w:sz w:val="20"/>
          <w:szCs w:val="20"/>
          <w:lang w:val="en-US"/>
        </w:rPr>
        <w:t>glycemic</w:t>
      </w:r>
      <w:proofErr w:type="spellEnd"/>
      <w:r w:rsidRPr="00CB39B0">
        <w:rPr>
          <w:rFonts w:ascii="Verdana" w:hAnsi="Verdana"/>
          <w:sz w:val="20"/>
          <w:szCs w:val="20"/>
          <w:lang w:val="en-US"/>
        </w:rPr>
        <w:t xml:space="preserve"> load on dietary adherence, body composition, and metabolism in CALERIE: a 1-y randomized controlled trial. </w:t>
      </w:r>
      <w:proofErr w:type="gramStart"/>
      <w:r w:rsidRPr="00CB39B0">
        <w:rPr>
          <w:rFonts w:ascii="Verdana" w:hAnsi="Verdana"/>
          <w:sz w:val="20"/>
          <w:szCs w:val="20"/>
          <w:lang w:val="en-US"/>
        </w:rPr>
        <w:t xml:space="preserve">Am J </w:t>
      </w:r>
      <w:proofErr w:type="spellStart"/>
      <w:r w:rsidRPr="00CB39B0">
        <w:rPr>
          <w:rFonts w:ascii="Verdana" w:hAnsi="Verdana"/>
          <w:sz w:val="20"/>
          <w:szCs w:val="20"/>
          <w:lang w:val="en-US"/>
        </w:rPr>
        <w:t>Clin</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Nutr</w:t>
      </w:r>
      <w:proofErr w:type="spellEnd"/>
      <w:r w:rsidRPr="00CB39B0">
        <w:rPr>
          <w:rFonts w:ascii="Verdana" w:hAnsi="Verdana"/>
          <w:sz w:val="20"/>
          <w:szCs w:val="20"/>
          <w:lang w:val="en-US"/>
        </w:rPr>
        <w:t>.</w:t>
      </w:r>
      <w:proofErr w:type="gramEnd"/>
      <w:r w:rsidRPr="00CB39B0">
        <w:rPr>
          <w:rFonts w:ascii="Verdana" w:hAnsi="Verdana"/>
          <w:sz w:val="20"/>
          <w:szCs w:val="20"/>
          <w:lang w:val="en-US"/>
        </w:rPr>
        <w:t xml:space="preserve"> 2007</w:t>
      </w:r>
      <w:proofErr w:type="gramStart"/>
      <w:r w:rsidRPr="00CB39B0">
        <w:rPr>
          <w:rFonts w:ascii="Verdana" w:hAnsi="Verdana"/>
          <w:sz w:val="20"/>
          <w:szCs w:val="20"/>
          <w:lang w:val="en-US"/>
        </w:rPr>
        <w:t>;85</w:t>
      </w:r>
      <w:proofErr w:type="gramEnd"/>
      <w:r w:rsidRPr="00CB39B0">
        <w:rPr>
          <w:rFonts w:ascii="Verdana" w:hAnsi="Verdana"/>
          <w:sz w:val="20"/>
          <w:szCs w:val="20"/>
          <w:lang w:val="en-US"/>
        </w:rPr>
        <w:t>(4):1023-30.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22. </w:t>
      </w:r>
      <w:proofErr w:type="spellStart"/>
      <w:r w:rsidRPr="00CB39B0">
        <w:rPr>
          <w:rFonts w:ascii="Verdana" w:hAnsi="Verdana"/>
          <w:sz w:val="20"/>
          <w:szCs w:val="20"/>
          <w:lang w:val="en-US"/>
        </w:rPr>
        <w:t>Ebbeling</w:t>
      </w:r>
      <w:proofErr w:type="spellEnd"/>
      <w:r w:rsidRPr="00CB39B0">
        <w:rPr>
          <w:rFonts w:ascii="Verdana" w:hAnsi="Verdana"/>
          <w:sz w:val="20"/>
          <w:szCs w:val="20"/>
          <w:lang w:val="en-US"/>
        </w:rPr>
        <w:t xml:space="preserve"> CB, </w:t>
      </w:r>
      <w:proofErr w:type="spellStart"/>
      <w:r w:rsidRPr="00CB39B0">
        <w:rPr>
          <w:rFonts w:ascii="Verdana" w:hAnsi="Verdana"/>
          <w:sz w:val="20"/>
          <w:szCs w:val="20"/>
          <w:lang w:val="en-US"/>
        </w:rPr>
        <w:t>Leidig</w:t>
      </w:r>
      <w:proofErr w:type="spellEnd"/>
      <w:r w:rsidRPr="00CB39B0">
        <w:rPr>
          <w:rFonts w:ascii="Verdana" w:hAnsi="Verdana"/>
          <w:sz w:val="20"/>
          <w:szCs w:val="20"/>
          <w:lang w:val="en-US"/>
        </w:rPr>
        <w:t xml:space="preserve"> MM, Feldman HA, </w:t>
      </w:r>
      <w:proofErr w:type="spellStart"/>
      <w:r w:rsidRPr="00CB39B0">
        <w:rPr>
          <w:rFonts w:ascii="Verdana" w:hAnsi="Verdana"/>
          <w:sz w:val="20"/>
          <w:szCs w:val="20"/>
          <w:lang w:val="en-US"/>
        </w:rPr>
        <w:t>Lovesky</w:t>
      </w:r>
      <w:proofErr w:type="spellEnd"/>
      <w:r w:rsidRPr="00CB39B0">
        <w:rPr>
          <w:rFonts w:ascii="Verdana" w:hAnsi="Verdana"/>
          <w:sz w:val="20"/>
          <w:szCs w:val="20"/>
          <w:lang w:val="en-US"/>
        </w:rPr>
        <w:t xml:space="preserve"> MM, Ludwig DS. Effects of a low-</w:t>
      </w:r>
      <w:proofErr w:type="spellStart"/>
      <w:r w:rsidRPr="00CB39B0">
        <w:rPr>
          <w:rFonts w:ascii="Verdana" w:hAnsi="Verdana"/>
          <w:sz w:val="20"/>
          <w:szCs w:val="20"/>
          <w:lang w:val="en-US"/>
        </w:rPr>
        <w:t>glycemic</w:t>
      </w:r>
      <w:proofErr w:type="spellEnd"/>
      <w:r w:rsidRPr="00CB39B0">
        <w:rPr>
          <w:rFonts w:ascii="Verdana" w:hAnsi="Verdana"/>
          <w:sz w:val="20"/>
          <w:szCs w:val="20"/>
          <w:lang w:val="en-US"/>
        </w:rPr>
        <w:t xml:space="preserve"> load </w:t>
      </w:r>
      <w:proofErr w:type="spellStart"/>
      <w:r w:rsidRPr="00CB39B0">
        <w:rPr>
          <w:rFonts w:ascii="Verdana" w:hAnsi="Verdana"/>
          <w:sz w:val="20"/>
          <w:szCs w:val="20"/>
          <w:lang w:val="en-US"/>
        </w:rPr>
        <w:t>vs</w:t>
      </w:r>
      <w:proofErr w:type="spellEnd"/>
      <w:r w:rsidRPr="00CB39B0">
        <w:rPr>
          <w:rFonts w:ascii="Verdana" w:hAnsi="Verdana"/>
          <w:sz w:val="20"/>
          <w:szCs w:val="20"/>
          <w:lang w:val="en-US"/>
        </w:rPr>
        <w:t xml:space="preserve"> low-fat diet in obese young adults: a randomized trial. </w:t>
      </w:r>
      <w:proofErr w:type="gramStart"/>
      <w:r w:rsidRPr="00CB39B0">
        <w:rPr>
          <w:rFonts w:ascii="Verdana" w:hAnsi="Verdana"/>
          <w:sz w:val="20"/>
          <w:szCs w:val="20"/>
          <w:lang w:val="en-US"/>
        </w:rPr>
        <w:t>JAMA.</w:t>
      </w:r>
      <w:proofErr w:type="gramEnd"/>
      <w:r w:rsidRPr="00CB39B0">
        <w:rPr>
          <w:rFonts w:ascii="Verdana" w:hAnsi="Verdana"/>
          <w:sz w:val="20"/>
          <w:szCs w:val="20"/>
          <w:lang w:val="en-US"/>
        </w:rPr>
        <w:t xml:space="preserve"> 2007</w:t>
      </w:r>
      <w:proofErr w:type="gramStart"/>
      <w:r w:rsidRPr="00CB39B0">
        <w:rPr>
          <w:rFonts w:ascii="Verdana" w:hAnsi="Verdana"/>
          <w:sz w:val="20"/>
          <w:szCs w:val="20"/>
          <w:lang w:val="en-US"/>
        </w:rPr>
        <w:t>;297</w:t>
      </w:r>
      <w:proofErr w:type="gramEnd"/>
      <w:r w:rsidRPr="00CB39B0">
        <w:rPr>
          <w:rFonts w:ascii="Verdana" w:hAnsi="Verdana"/>
          <w:sz w:val="20"/>
          <w:szCs w:val="20"/>
          <w:lang w:val="en-US"/>
        </w:rPr>
        <w:t>(19):2092-102.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23. </w:t>
      </w:r>
      <w:proofErr w:type="spellStart"/>
      <w:r w:rsidRPr="00CB39B0">
        <w:rPr>
          <w:rFonts w:ascii="Verdana" w:hAnsi="Verdana"/>
          <w:sz w:val="20"/>
          <w:szCs w:val="20"/>
          <w:lang w:val="en-US"/>
        </w:rPr>
        <w:t>Ello</w:t>
      </w:r>
      <w:proofErr w:type="spellEnd"/>
      <w:r w:rsidRPr="00CB39B0">
        <w:rPr>
          <w:rFonts w:ascii="Verdana" w:hAnsi="Verdana"/>
          <w:sz w:val="20"/>
          <w:szCs w:val="20"/>
          <w:lang w:val="en-US"/>
        </w:rPr>
        <w:t xml:space="preserve">-Martin JA, Roe LS, </w:t>
      </w:r>
      <w:proofErr w:type="spellStart"/>
      <w:r w:rsidRPr="00CB39B0">
        <w:rPr>
          <w:rFonts w:ascii="Verdana" w:hAnsi="Verdana"/>
          <w:sz w:val="20"/>
          <w:szCs w:val="20"/>
          <w:lang w:val="en-US"/>
        </w:rPr>
        <w:t>Ledikwe</w:t>
      </w:r>
      <w:proofErr w:type="spellEnd"/>
      <w:r w:rsidRPr="00CB39B0">
        <w:rPr>
          <w:rFonts w:ascii="Verdana" w:hAnsi="Verdana"/>
          <w:sz w:val="20"/>
          <w:szCs w:val="20"/>
          <w:lang w:val="en-US"/>
        </w:rPr>
        <w:t xml:space="preserve"> JH, Beach AM, Rolls BJ. Dietary energy density in the treatment of obesity: a year-long trial comparing 2 weight-loss diets. </w:t>
      </w:r>
      <w:proofErr w:type="gramStart"/>
      <w:r w:rsidRPr="00CB39B0">
        <w:rPr>
          <w:rFonts w:ascii="Verdana" w:hAnsi="Verdana"/>
          <w:sz w:val="20"/>
          <w:szCs w:val="20"/>
          <w:lang w:val="en-US"/>
        </w:rPr>
        <w:t xml:space="preserve">Am J </w:t>
      </w:r>
      <w:proofErr w:type="spellStart"/>
      <w:r w:rsidRPr="00CB39B0">
        <w:rPr>
          <w:rFonts w:ascii="Verdana" w:hAnsi="Verdana"/>
          <w:sz w:val="20"/>
          <w:szCs w:val="20"/>
          <w:lang w:val="en-US"/>
        </w:rPr>
        <w:t>Clin</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Nutr</w:t>
      </w:r>
      <w:proofErr w:type="spellEnd"/>
      <w:r w:rsidRPr="00CB39B0">
        <w:rPr>
          <w:rFonts w:ascii="Verdana" w:hAnsi="Verdana"/>
          <w:sz w:val="20"/>
          <w:szCs w:val="20"/>
          <w:lang w:val="en-US"/>
        </w:rPr>
        <w:t>.</w:t>
      </w:r>
      <w:proofErr w:type="gramEnd"/>
      <w:r w:rsidRPr="00CB39B0">
        <w:rPr>
          <w:rFonts w:ascii="Verdana" w:hAnsi="Verdana"/>
          <w:sz w:val="20"/>
          <w:szCs w:val="20"/>
          <w:lang w:val="en-US"/>
        </w:rPr>
        <w:t xml:space="preserve"> 2007</w:t>
      </w:r>
      <w:proofErr w:type="gramStart"/>
      <w:r w:rsidRPr="00CB39B0">
        <w:rPr>
          <w:rFonts w:ascii="Verdana" w:hAnsi="Verdana"/>
          <w:sz w:val="20"/>
          <w:szCs w:val="20"/>
          <w:lang w:val="en-US"/>
        </w:rPr>
        <w:t>;85</w:t>
      </w:r>
      <w:proofErr w:type="gramEnd"/>
      <w:r w:rsidRPr="00CB39B0">
        <w:rPr>
          <w:rFonts w:ascii="Verdana" w:hAnsi="Verdana"/>
          <w:sz w:val="20"/>
          <w:szCs w:val="20"/>
          <w:lang w:val="en-US"/>
        </w:rPr>
        <w:t>(6):1465-77.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24. Gardner CD, </w:t>
      </w:r>
      <w:proofErr w:type="spellStart"/>
      <w:r w:rsidRPr="00CB39B0">
        <w:rPr>
          <w:rFonts w:ascii="Verdana" w:hAnsi="Verdana"/>
          <w:sz w:val="20"/>
          <w:szCs w:val="20"/>
          <w:lang w:val="en-US"/>
        </w:rPr>
        <w:t>Kiazand</w:t>
      </w:r>
      <w:proofErr w:type="spellEnd"/>
      <w:r w:rsidRPr="00CB39B0">
        <w:rPr>
          <w:rFonts w:ascii="Verdana" w:hAnsi="Verdana"/>
          <w:sz w:val="20"/>
          <w:szCs w:val="20"/>
          <w:lang w:val="en-US"/>
        </w:rPr>
        <w:t xml:space="preserve"> A, </w:t>
      </w:r>
      <w:proofErr w:type="spellStart"/>
      <w:r w:rsidRPr="00CB39B0">
        <w:rPr>
          <w:rFonts w:ascii="Verdana" w:hAnsi="Verdana"/>
          <w:sz w:val="20"/>
          <w:szCs w:val="20"/>
          <w:lang w:val="en-US"/>
        </w:rPr>
        <w:t>Alhassan</w:t>
      </w:r>
      <w:proofErr w:type="spellEnd"/>
      <w:r w:rsidRPr="00CB39B0">
        <w:rPr>
          <w:rFonts w:ascii="Verdana" w:hAnsi="Verdana"/>
          <w:sz w:val="20"/>
          <w:szCs w:val="20"/>
          <w:lang w:val="en-US"/>
        </w:rPr>
        <w:t xml:space="preserve"> S, Kim S, Stafford RS, </w:t>
      </w:r>
      <w:proofErr w:type="spellStart"/>
      <w:r w:rsidRPr="00CB39B0">
        <w:rPr>
          <w:rFonts w:ascii="Verdana" w:hAnsi="Verdana"/>
          <w:sz w:val="20"/>
          <w:szCs w:val="20"/>
          <w:lang w:val="en-US"/>
        </w:rPr>
        <w:t>Balise</w:t>
      </w:r>
      <w:proofErr w:type="spellEnd"/>
      <w:r w:rsidRPr="00CB39B0">
        <w:rPr>
          <w:rFonts w:ascii="Verdana" w:hAnsi="Verdana"/>
          <w:sz w:val="20"/>
          <w:szCs w:val="20"/>
          <w:lang w:val="en-US"/>
        </w:rPr>
        <w:t xml:space="preserve"> RR, et al. Comparison of the Atkins, Zone, </w:t>
      </w:r>
      <w:proofErr w:type="spellStart"/>
      <w:r w:rsidRPr="00CB39B0">
        <w:rPr>
          <w:rFonts w:ascii="Verdana" w:hAnsi="Verdana"/>
          <w:sz w:val="20"/>
          <w:szCs w:val="20"/>
          <w:lang w:val="en-US"/>
        </w:rPr>
        <w:t>Ornish</w:t>
      </w:r>
      <w:proofErr w:type="spellEnd"/>
      <w:r w:rsidRPr="00CB39B0">
        <w:rPr>
          <w:rFonts w:ascii="Verdana" w:hAnsi="Verdana"/>
          <w:sz w:val="20"/>
          <w:szCs w:val="20"/>
          <w:lang w:val="en-US"/>
        </w:rPr>
        <w:t xml:space="preserve">, and learn diets for change in weight and related risk factors among overweight premenopausal women: the A to Z weight loss study: a randomized trial. </w:t>
      </w:r>
      <w:proofErr w:type="gramStart"/>
      <w:r w:rsidRPr="00CB39B0">
        <w:rPr>
          <w:rFonts w:ascii="Verdana" w:hAnsi="Verdana"/>
          <w:sz w:val="20"/>
          <w:szCs w:val="20"/>
          <w:lang w:val="en-US"/>
        </w:rPr>
        <w:t>JAMA.</w:t>
      </w:r>
      <w:proofErr w:type="gramEnd"/>
      <w:r w:rsidRPr="00CB39B0">
        <w:rPr>
          <w:rFonts w:ascii="Verdana" w:hAnsi="Verdana"/>
          <w:sz w:val="20"/>
          <w:szCs w:val="20"/>
          <w:lang w:val="en-US"/>
        </w:rPr>
        <w:t xml:space="preserve"> 2007</w:t>
      </w:r>
      <w:proofErr w:type="gramStart"/>
      <w:r w:rsidRPr="00CB39B0">
        <w:rPr>
          <w:rFonts w:ascii="Verdana" w:hAnsi="Verdana"/>
          <w:sz w:val="20"/>
          <w:szCs w:val="20"/>
          <w:lang w:val="en-US"/>
        </w:rPr>
        <w:t>;297</w:t>
      </w:r>
      <w:proofErr w:type="gramEnd"/>
      <w:r w:rsidRPr="00CB39B0">
        <w:rPr>
          <w:rFonts w:ascii="Verdana" w:hAnsi="Verdana"/>
          <w:sz w:val="20"/>
          <w:szCs w:val="20"/>
          <w:lang w:val="en-US"/>
        </w:rPr>
        <w:t>(9):969-77.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25. Keogh JB, </w:t>
      </w:r>
      <w:proofErr w:type="spellStart"/>
      <w:r w:rsidRPr="00CB39B0">
        <w:rPr>
          <w:rFonts w:ascii="Verdana" w:hAnsi="Verdana"/>
          <w:sz w:val="20"/>
          <w:szCs w:val="20"/>
          <w:lang w:val="en-US"/>
        </w:rPr>
        <w:t>Luscombe</w:t>
      </w:r>
      <w:proofErr w:type="spellEnd"/>
      <w:r w:rsidRPr="00CB39B0">
        <w:rPr>
          <w:rFonts w:ascii="Verdana" w:hAnsi="Verdana"/>
          <w:sz w:val="20"/>
          <w:szCs w:val="20"/>
          <w:lang w:val="en-US"/>
        </w:rPr>
        <w:t xml:space="preserve">-Marsh ND, </w:t>
      </w:r>
      <w:proofErr w:type="spellStart"/>
      <w:r w:rsidRPr="00CB39B0">
        <w:rPr>
          <w:rFonts w:ascii="Verdana" w:hAnsi="Verdana"/>
          <w:sz w:val="20"/>
          <w:szCs w:val="20"/>
          <w:lang w:val="en-US"/>
        </w:rPr>
        <w:t>Noakes</w:t>
      </w:r>
      <w:proofErr w:type="spellEnd"/>
      <w:r w:rsidRPr="00CB39B0">
        <w:rPr>
          <w:rFonts w:ascii="Verdana" w:hAnsi="Verdana"/>
          <w:sz w:val="20"/>
          <w:szCs w:val="20"/>
          <w:lang w:val="en-US"/>
        </w:rPr>
        <w:t xml:space="preserve"> M, </w:t>
      </w:r>
      <w:proofErr w:type="spellStart"/>
      <w:r w:rsidRPr="00CB39B0">
        <w:rPr>
          <w:rFonts w:ascii="Verdana" w:hAnsi="Verdana"/>
          <w:sz w:val="20"/>
          <w:szCs w:val="20"/>
          <w:lang w:val="en-US"/>
        </w:rPr>
        <w:t>Wittert</w:t>
      </w:r>
      <w:proofErr w:type="spellEnd"/>
      <w:r w:rsidRPr="00CB39B0">
        <w:rPr>
          <w:rFonts w:ascii="Verdana" w:hAnsi="Verdana"/>
          <w:sz w:val="20"/>
          <w:szCs w:val="20"/>
          <w:lang w:val="en-US"/>
        </w:rPr>
        <w:t xml:space="preserve"> GA, Clifton PM. Long-term weight maintenance and cardiovascular risk factors are not different following weight loss on carbohydrate-restricted diets high in either monounsaturated fat or protein in obese </w:t>
      </w:r>
      <w:proofErr w:type="spellStart"/>
      <w:r w:rsidRPr="00CB39B0">
        <w:rPr>
          <w:rFonts w:ascii="Verdana" w:hAnsi="Verdana"/>
          <w:sz w:val="20"/>
          <w:szCs w:val="20"/>
          <w:lang w:val="en-US"/>
        </w:rPr>
        <w:t>hyperinsulinaemic</w:t>
      </w:r>
      <w:proofErr w:type="spellEnd"/>
      <w:r w:rsidRPr="00CB39B0">
        <w:rPr>
          <w:rFonts w:ascii="Verdana" w:hAnsi="Verdana"/>
          <w:sz w:val="20"/>
          <w:szCs w:val="20"/>
          <w:lang w:val="en-US"/>
        </w:rPr>
        <w:t xml:space="preserve"> men and women. </w:t>
      </w:r>
      <w:proofErr w:type="gramStart"/>
      <w:r w:rsidRPr="00CB39B0">
        <w:rPr>
          <w:rFonts w:ascii="Verdana" w:hAnsi="Verdana"/>
          <w:sz w:val="20"/>
          <w:szCs w:val="20"/>
          <w:lang w:val="en-US"/>
        </w:rPr>
        <w:t xml:space="preserve">Br J </w:t>
      </w:r>
      <w:proofErr w:type="spellStart"/>
      <w:r w:rsidRPr="00CB39B0">
        <w:rPr>
          <w:rFonts w:ascii="Verdana" w:hAnsi="Verdana"/>
          <w:sz w:val="20"/>
          <w:szCs w:val="20"/>
          <w:lang w:val="en-US"/>
        </w:rPr>
        <w:t>Nutr</w:t>
      </w:r>
      <w:proofErr w:type="spellEnd"/>
      <w:r w:rsidRPr="00CB39B0">
        <w:rPr>
          <w:rFonts w:ascii="Verdana" w:hAnsi="Verdana"/>
          <w:sz w:val="20"/>
          <w:szCs w:val="20"/>
          <w:lang w:val="en-US"/>
        </w:rPr>
        <w:t>.</w:t>
      </w:r>
      <w:proofErr w:type="gramEnd"/>
      <w:r w:rsidRPr="00CB39B0">
        <w:rPr>
          <w:rFonts w:ascii="Verdana" w:hAnsi="Verdana"/>
          <w:sz w:val="20"/>
          <w:szCs w:val="20"/>
          <w:lang w:val="en-US"/>
        </w:rPr>
        <w:t xml:space="preserve"> 2007</w:t>
      </w:r>
      <w:proofErr w:type="gramStart"/>
      <w:r w:rsidRPr="00CB39B0">
        <w:rPr>
          <w:rFonts w:ascii="Verdana" w:hAnsi="Verdana"/>
          <w:sz w:val="20"/>
          <w:szCs w:val="20"/>
          <w:lang w:val="en-US"/>
        </w:rPr>
        <w:t>;97</w:t>
      </w:r>
      <w:proofErr w:type="gramEnd"/>
      <w:r w:rsidRPr="00CB39B0">
        <w:rPr>
          <w:rFonts w:ascii="Verdana" w:hAnsi="Verdana"/>
          <w:sz w:val="20"/>
          <w:szCs w:val="20"/>
          <w:lang w:val="en-US"/>
        </w:rPr>
        <w:t>(2):405-10.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26. </w:t>
      </w:r>
      <w:proofErr w:type="spellStart"/>
      <w:r w:rsidRPr="00CB39B0">
        <w:rPr>
          <w:rFonts w:ascii="Verdana" w:hAnsi="Verdana"/>
          <w:sz w:val="20"/>
          <w:szCs w:val="20"/>
          <w:lang w:val="en-US"/>
        </w:rPr>
        <w:t>Sichieri</w:t>
      </w:r>
      <w:proofErr w:type="spellEnd"/>
      <w:r w:rsidRPr="00CB39B0">
        <w:rPr>
          <w:rFonts w:ascii="Verdana" w:hAnsi="Verdana"/>
          <w:sz w:val="20"/>
          <w:szCs w:val="20"/>
          <w:lang w:val="en-US"/>
        </w:rPr>
        <w:t xml:space="preserve"> R, </w:t>
      </w:r>
      <w:proofErr w:type="spellStart"/>
      <w:r w:rsidRPr="00CB39B0">
        <w:rPr>
          <w:rFonts w:ascii="Verdana" w:hAnsi="Verdana"/>
          <w:sz w:val="20"/>
          <w:szCs w:val="20"/>
          <w:lang w:val="en-US"/>
        </w:rPr>
        <w:t>Moura</w:t>
      </w:r>
      <w:proofErr w:type="spellEnd"/>
      <w:r w:rsidRPr="00CB39B0">
        <w:rPr>
          <w:rFonts w:ascii="Verdana" w:hAnsi="Verdana"/>
          <w:sz w:val="20"/>
          <w:szCs w:val="20"/>
          <w:lang w:val="en-US"/>
        </w:rPr>
        <w:t xml:space="preserve"> AS, </w:t>
      </w:r>
      <w:proofErr w:type="spellStart"/>
      <w:r w:rsidRPr="00CB39B0">
        <w:rPr>
          <w:rFonts w:ascii="Verdana" w:hAnsi="Verdana"/>
          <w:sz w:val="20"/>
          <w:szCs w:val="20"/>
          <w:lang w:val="en-US"/>
        </w:rPr>
        <w:t>Genelhu</w:t>
      </w:r>
      <w:proofErr w:type="spellEnd"/>
      <w:r w:rsidRPr="00CB39B0">
        <w:rPr>
          <w:rFonts w:ascii="Verdana" w:hAnsi="Verdana"/>
          <w:sz w:val="20"/>
          <w:szCs w:val="20"/>
          <w:lang w:val="en-US"/>
        </w:rPr>
        <w:t xml:space="preserve"> V, </w:t>
      </w:r>
      <w:proofErr w:type="spellStart"/>
      <w:r w:rsidRPr="00CB39B0">
        <w:rPr>
          <w:rFonts w:ascii="Verdana" w:hAnsi="Verdana"/>
          <w:sz w:val="20"/>
          <w:szCs w:val="20"/>
          <w:lang w:val="en-US"/>
        </w:rPr>
        <w:t>Hu</w:t>
      </w:r>
      <w:proofErr w:type="spellEnd"/>
      <w:r w:rsidRPr="00CB39B0">
        <w:rPr>
          <w:rFonts w:ascii="Verdana" w:hAnsi="Verdana"/>
          <w:sz w:val="20"/>
          <w:szCs w:val="20"/>
          <w:lang w:val="en-US"/>
        </w:rPr>
        <w:t xml:space="preserve"> F, Willett WC. </w:t>
      </w:r>
      <w:proofErr w:type="gramStart"/>
      <w:r w:rsidRPr="00CB39B0">
        <w:rPr>
          <w:rFonts w:ascii="Verdana" w:hAnsi="Verdana"/>
          <w:sz w:val="20"/>
          <w:szCs w:val="20"/>
          <w:lang w:val="en-US"/>
        </w:rPr>
        <w:t>An 18-mo randomized trial of a low-</w:t>
      </w:r>
      <w:proofErr w:type="spellStart"/>
      <w:r w:rsidRPr="00CB39B0">
        <w:rPr>
          <w:rFonts w:ascii="Verdana" w:hAnsi="Verdana"/>
          <w:sz w:val="20"/>
          <w:szCs w:val="20"/>
          <w:lang w:val="en-US"/>
        </w:rPr>
        <w:t>glycemic</w:t>
      </w:r>
      <w:proofErr w:type="spellEnd"/>
      <w:r w:rsidRPr="00CB39B0">
        <w:rPr>
          <w:rFonts w:ascii="Verdana" w:hAnsi="Verdana"/>
          <w:sz w:val="20"/>
          <w:szCs w:val="20"/>
          <w:lang w:val="en-US"/>
        </w:rPr>
        <w:t>-index diet and weight change in Brazilian women.</w:t>
      </w:r>
      <w:proofErr w:type="gramEnd"/>
      <w:r w:rsidRPr="00CB39B0">
        <w:rPr>
          <w:rFonts w:ascii="Verdana" w:hAnsi="Verdana"/>
          <w:sz w:val="20"/>
          <w:szCs w:val="20"/>
          <w:lang w:val="en-US"/>
        </w:rPr>
        <w:t xml:space="preserve"> </w:t>
      </w:r>
      <w:proofErr w:type="gramStart"/>
      <w:r w:rsidRPr="00CB39B0">
        <w:rPr>
          <w:rFonts w:ascii="Verdana" w:hAnsi="Verdana"/>
          <w:sz w:val="20"/>
          <w:szCs w:val="20"/>
          <w:lang w:val="en-US"/>
        </w:rPr>
        <w:t xml:space="preserve">Am J </w:t>
      </w:r>
      <w:proofErr w:type="spellStart"/>
      <w:r w:rsidRPr="00CB39B0">
        <w:rPr>
          <w:rFonts w:ascii="Verdana" w:hAnsi="Verdana"/>
          <w:sz w:val="20"/>
          <w:szCs w:val="20"/>
          <w:lang w:val="en-US"/>
        </w:rPr>
        <w:t>Clin</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Nutr</w:t>
      </w:r>
      <w:proofErr w:type="spellEnd"/>
      <w:r w:rsidRPr="00CB39B0">
        <w:rPr>
          <w:rFonts w:ascii="Verdana" w:hAnsi="Verdana"/>
          <w:sz w:val="20"/>
          <w:szCs w:val="20"/>
          <w:lang w:val="en-US"/>
        </w:rPr>
        <w:t>.</w:t>
      </w:r>
      <w:proofErr w:type="gramEnd"/>
      <w:r w:rsidRPr="00CB39B0">
        <w:rPr>
          <w:rFonts w:ascii="Verdana" w:hAnsi="Verdana"/>
          <w:sz w:val="20"/>
          <w:szCs w:val="20"/>
          <w:lang w:val="en-US"/>
        </w:rPr>
        <w:t xml:space="preserve"> 2007</w:t>
      </w:r>
      <w:proofErr w:type="gramStart"/>
      <w:r w:rsidRPr="00CB39B0">
        <w:rPr>
          <w:rFonts w:ascii="Verdana" w:hAnsi="Verdana"/>
          <w:sz w:val="20"/>
          <w:szCs w:val="20"/>
          <w:lang w:val="en-US"/>
        </w:rPr>
        <w:t>;86</w:t>
      </w:r>
      <w:proofErr w:type="gramEnd"/>
      <w:r w:rsidRPr="00CB39B0">
        <w:rPr>
          <w:rFonts w:ascii="Verdana" w:hAnsi="Verdana"/>
          <w:sz w:val="20"/>
          <w:szCs w:val="20"/>
          <w:lang w:val="en-US"/>
        </w:rPr>
        <w:t>(3):707-13.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27. Turner-</w:t>
      </w:r>
      <w:proofErr w:type="spellStart"/>
      <w:r w:rsidRPr="00CB39B0">
        <w:rPr>
          <w:rFonts w:ascii="Verdana" w:hAnsi="Verdana"/>
          <w:sz w:val="20"/>
          <w:szCs w:val="20"/>
          <w:lang w:val="en-US"/>
        </w:rPr>
        <w:t>McGrievy</w:t>
      </w:r>
      <w:proofErr w:type="spellEnd"/>
      <w:r w:rsidRPr="00CB39B0">
        <w:rPr>
          <w:rFonts w:ascii="Verdana" w:hAnsi="Verdana"/>
          <w:sz w:val="20"/>
          <w:szCs w:val="20"/>
          <w:lang w:val="en-US"/>
        </w:rPr>
        <w:t xml:space="preserve"> GM, Barnard ND, </w:t>
      </w:r>
      <w:proofErr w:type="spellStart"/>
      <w:r w:rsidRPr="00CB39B0">
        <w:rPr>
          <w:rFonts w:ascii="Verdana" w:hAnsi="Verdana"/>
          <w:sz w:val="20"/>
          <w:szCs w:val="20"/>
          <w:lang w:val="en-US"/>
        </w:rPr>
        <w:t>Scialli</w:t>
      </w:r>
      <w:proofErr w:type="spellEnd"/>
      <w:r w:rsidRPr="00CB39B0">
        <w:rPr>
          <w:rFonts w:ascii="Verdana" w:hAnsi="Verdana"/>
          <w:sz w:val="20"/>
          <w:szCs w:val="20"/>
          <w:lang w:val="en-US"/>
        </w:rPr>
        <w:t xml:space="preserve"> AR. A two-year randomized weight loss trial comparing a vegan diet to a more moderate low-fat diet. </w:t>
      </w:r>
      <w:proofErr w:type="gramStart"/>
      <w:r w:rsidRPr="00CB39B0">
        <w:rPr>
          <w:rFonts w:ascii="Verdana" w:hAnsi="Verdana"/>
          <w:sz w:val="20"/>
          <w:szCs w:val="20"/>
          <w:lang w:val="en-US"/>
        </w:rPr>
        <w:t>Obesity (Silver Spring).</w:t>
      </w:r>
      <w:proofErr w:type="gramEnd"/>
      <w:r w:rsidRPr="00CB39B0">
        <w:rPr>
          <w:rFonts w:ascii="Verdana" w:hAnsi="Verdana"/>
          <w:sz w:val="20"/>
          <w:szCs w:val="20"/>
          <w:lang w:val="en-US"/>
        </w:rPr>
        <w:t xml:space="preserve"> 2007</w:t>
      </w:r>
      <w:proofErr w:type="gramStart"/>
      <w:r w:rsidRPr="00CB39B0">
        <w:rPr>
          <w:rFonts w:ascii="Verdana" w:hAnsi="Verdana"/>
          <w:sz w:val="20"/>
          <w:szCs w:val="20"/>
          <w:lang w:val="en-US"/>
        </w:rPr>
        <w:t>;15</w:t>
      </w:r>
      <w:proofErr w:type="gramEnd"/>
      <w:r w:rsidRPr="00CB39B0">
        <w:rPr>
          <w:rFonts w:ascii="Verdana" w:hAnsi="Verdana"/>
          <w:sz w:val="20"/>
          <w:szCs w:val="20"/>
          <w:lang w:val="en-US"/>
        </w:rPr>
        <w:t>(9):2276-81.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28. </w:t>
      </w:r>
      <w:proofErr w:type="spellStart"/>
      <w:r w:rsidRPr="00CB39B0">
        <w:rPr>
          <w:rFonts w:ascii="Verdana" w:hAnsi="Verdana"/>
          <w:sz w:val="20"/>
          <w:szCs w:val="20"/>
          <w:lang w:val="en-US"/>
        </w:rPr>
        <w:t>Cheskin</w:t>
      </w:r>
      <w:proofErr w:type="spellEnd"/>
      <w:r w:rsidRPr="00CB39B0">
        <w:rPr>
          <w:rFonts w:ascii="Verdana" w:hAnsi="Verdana"/>
          <w:sz w:val="20"/>
          <w:szCs w:val="20"/>
          <w:lang w:val="en-US"/>
        </w:rPr>
        <w:t xml:space="preserve"> LJ, Mitchell AM, </w:t>
      </w:r>
      <w:proofErr w:type="spellStart"/>
      <w:r w:rsidRPr="00CB39B0">
        <w:rPr>
          <w:rFonts w:ascii="Verdana" w:hAnsi="Verdana"/>
          <w:sz w:val="20"/>
          <w:szCs w:val="20"/>
          <w:lang w:val="en-US"/>
        </w:rPr>
        <w:t>Jhaveri</w:t>
      </w:r>
      <w:proofErr w:type="spellEnd"/>
      <w:r w:rsidRPr="00CB39B0">
        <w:rPr>
          <w:rFonts w:ascii="Verdana" w:hAnsi="Verdana"/>
          <w:sz w:val="20"/>
          <w:szCs w:val="20"/>
          <w:lang w:val="en-US"/>
        </w:rPr>
        <w:t xml:space="preserve"> AD, </w:t>
      </w:r>
      <w:proofErr w:type="spellStart"/>
      <w:r w:rsidRPr="00CB39B0">
        <w:rPr>
          <w:rFonts w:ascii="Verdana" w:hAnsi="Verdana"/>
          <w:sz w:val="20"/>
          <w:szCs w:val="20"/>
          <w:lang w:val="en-US"/>
        </w:rPr>
        <w:t>Mitola</w:t>
      </w:r>
      <w:proofErr w:type="spellEnd"/>
      <w:r w:rsidRPr="00CB39B0">
        <w:rPr>
          <w:rFonts w:ascii="Verdana" w:hAnsi="Verdana"/>
          <w:sz w:val="20"/>
          <w:szCs w:val="20"/>
          <w:lang w:val="en-US"/>
        </w:rPr>
        <w:t xml:space="preserve"> AH, Davis LM, Lewis RA, et al. Efficacy of meal replacements versus a standard food-based diet for weight loss in type 2 diabetes: a controlled clinical trial. Diabetes Educ. 2008</w:t>
      </w:r>
      <w:proofErr w:type="gramStart"/>
      <w:r w:rsidRPr="00CB39B0">
        <w:rPr>
          <w:rFonts w:ascii="Verdana" w:hAnsi="Verdana"/>
          <w:sz w:val="20"/>
          <w:szCs w:val="20"/>
          <w:lang w:val="en-US"/>
        </w:rPr>
        <w:t>;34</w:t>
      </w:r>
      <w:proofErr w:type="gramEnd"/>
      <w:r w:rsidRPr="00CB39B0">
        <w:rPr>
          <w:rFonts w:ascii="Verdana" w:hAnsi="Verdana"/>
          <w:sz w:val="20"/>
          <w:szCs w:val="20"/>
          <w:lang w:val="en-US"/>
        </w:rPr>
        <w:t>(1):118-27.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29. Clifton PM, Keogh JB, </w:t>
      </w:r>
      <w:proofErr w:type="spellStart"/>
      <w:r w:rsidRPr="00CB39B0">
        <w:rPr>
          <w:rFonts w:ascii="Verdana" w:hAnsi="Verdana"/>
          <w:sz w:val="20"/>
          <w:szCs w:val="20"/>
          <w:lang w:val="en-US"/>
        </w:rPr>
        <w:t>Noakes</w:t>
      </w:r>
      <w:proofErr w:type="spellEnd"/>
      <w:r w:rsidRPr="00CB39B0">
        <w:rPr>
          <w:rFonts w:ascii="Verdana" w:hAnsi="Verdana"/>
          <w:sz w:val="20"/>
          <w:szCs w:val="20"/>
          <w:lang w:val="en-US"/>
        </w:rPr>
        <w:t xml:space="preserve"> M. Long-term effects of a high-protein weight-loss diet. </w:t>
      </w:r>
      <w:proofErr w:type="gramStart"/>
      <w:r w:rsidRPr="00CB39B0">
        <w:rPr>
          <w:rFonts w:ascii="Verdana" w:hAnsi="Verdana"/>
          <w:sz w:val="20"/>
          <w:szCs w:val="20"/>
          <w:lang w:val="en-US"/>
        </w:rPr>
        <w:t xml:space="preserve">Am J </w:t>
      </w:r>
      <w:proofErr w:type="spellStart"/>
      <w:r w:rsidRPr="00CB39B0">
        <w:rPr>
          <w:rFonts w:ascii="Verdana" w:hAnsi="Verdana"/>
          <w:sz w:val="20"/>
          <w:szCs w:val="20"/>
          <w:lang w:val="en-US"/>
        </w:rPr>
        <w:t>Clin</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Nutr</w:t>
      </w:r>
      <w:proofErr w:type="spellEnd"/>
      <w:r w:rsidRPr="00CB39B0">
        <w:rPr>
          <w:rFonts w:ascii="Verdana" w:hAnsi="Verdana"/>
          <w:sz w:val="20"/>
          <w:szCs w:val="20"/>
          <w:lang w:val="en-US"/>
        </w:rPr>
        <w:t>.</w:t>
      </w:r>
      <w:proofErr w:type="gramEnd"/>
      <w:r w:rsidRPr="00CB39B0">
        <w:rPr>
          <w:rFonts w:ascii="Verdana" w:hAnsi="Verdana"/>
          <w:sz w:val="20"/>
          <w:szCs w:val="20"/>
          <w:lang w:val="en-US"/>
        </w:rPr>
        <w:t xml:space="preserve"> 2008</w:t>
      </w:r>
      <w:proofErr w:type="gramStart"/>
      <w:r w:rsidRPr="00CB39B0">
        <w:rPr>
          <w:rFonts w:ascii="Verdana" w:hAnsi="Verdana"/>
          <w:sz w:val="20"/>
          <w:szCs w:val="20"/>
          <w:lang w:val="en-US"/>
        </w:rPr>
        <w:t>;87</w:t>
      </w:r>
      <w:proofErr w:type="gramEnd"/>
      <w:r w:rsidRPr="00CB39B0">
        <w:rPr>
          <w:rFonts w:ascii="Verdana" w:hAnsi="Verdana"/>
          <w:sz w:val="20"/>
          <w:szCs w:val="20"/>
          <w:lang w:val="en-US"/>
        </w:rPr>
        <w:t>(1):23-9.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E07ACC" w:rsidRDefault="00CB39B0" w:rsidP="00CB39B0">
      <w:pPr>
        <w:pStyle w:val="NormalWeb"/>
        <w:rPr>
          <w:lang w:val="en-US"/>
        </w:rPr>
      </w:pPr>
      <w:r w:rsidRPr="00CB39B0">
        <w:rPr>
          <w:rFonts w:ascii="Verdana" w:hAnsi="Verdana"/>
          <w:sz w:val="20"/>
          <w:szCs w:val="20"/>
          <w:lang w:val="en-US"/>
        </w:rPr>
        <w:t xml:space="preserve">30. Kawashima H, </w:t>
      </w:r>
      <w:proofErr w:type="spellStart"/>
      <w:r w:rsidRPr="00CB39B0">
        <w:rPr>
          <w:rFonts w:ascii="Verdana" w:hAnsi="Verdana"/>
          <w:sz w:val="20"/>
          <w:szCs w:val="20"/>
          <w:lang w:val="en-US"/>
        </w:rPr>
        <w:t>Takase</w:t>
      </w:r>
      <w:proofErr w:type="spellEnd"/>
      <w:r w:rsidRPr="00CB39B0">
        <w:rPr>
          <w:rFonts w:ascii="Verdana" w:hAnsi="Verdana"/>
          <w:sz w:val="20"/>
          <w:szCs w:val="20"/>
          <w:lang w:val="en-US"/>
        </w:rPr>
        <w:t xml:space="preserve"> H, </w:t>
      </w:r>
      <w:proofErr w:type="spellStart"/>
      <w:r w:rsidRPr="00CB39B0">
        <w:rPr>
          <w:rFonts w:ascii="Verdana" w:hAnsi="Verdana"/>
          <w:sz w:val="20"/>
          <w:szCs w:val="20"/>
          <w:lang w:val="en-US"/>
        </w:rPr>
        <w:t>Yasunaga</w:t>
      </w:r>
      <w:proofErr w:type="spellEnd"/>
      <w:r w:rsidRPr="00CB39B0">
        <w:rPr>
          <w:rFonts w:ascii="Verdana" w:hAnsi="Verdana"/>
          <w:sz w:val="20"/>
          <w:szCs w:val="20"/>
          <w:lang w:val="en-US"/>
        </w:rPr>
        <w:t xml:space="preserve"> K, </w:t>
      </w:r>
      <w:proofErr w:type="spellStart"/>
      <w:r w:rsidRPr="00CB39B0">
        <w:rPr>
          <w:rFonts w:ascii="Verdana" w:hAnsi="Verdana"/>
          <w:sz w:val="20"/>
          <w:szCs w:val="20"/>
          <w:lang w:val="en-US"/>
        </w:rPr>
        <w:t>Wakaki</w:t>
      </w:r>
      <w:proofErr w:type="spellEnd"/>
      <w:r w:rsidRPr="00CB39B0">
        <w:rPr>
          <w:rFonts w:ascii="Verdana" w:hAnsi="Verdana"/>
          <w:sz w:val="20"/>
          <w:szCs w:val="20"/>
          <w:lang w:val="en-US"/>
        </w:rPr>
        <w:t xml:space="preserve"> Y, </w:t>
      </w:r>
      <w:proofErr w:type="spellStart"/>
      <w:r w:rsidRPr="00CB39B0">
        <w:rPr>
          <w:rFonts w:ascii="Verdana" w:hAnsi="Verdana"/>
          <w:sz w:val="20"/>
          <w:szCs w:val="20"/>
          <w:lang w:val="en-US"/>
        </w:rPr>
        <w:t>Katsuragi</w:t>
      </w:r>
      <w:proofErr w:type="spellEnd"/>
      <w:r w:rsidRPr="00CB39B0">
        <w:rPr>
          <w:rFonts w:ascii="Verdana" w:hAnsi="Verdana"/>
          <w:sz w:val="20"/>
          <w:szCs w:val="20"/>
          <w:lang w:val="en-US"/>
        </w:rPr>
        <w:t xml:space="preserve"> Y, Mori K, et al. One-year ad </w:t>
      </w:r>
      <w:proofErr w:type="spellStart"/>
      <w:r w:rsidRPr="00CB39B0">
        <w:rPr>
          <w:rFonts w:ascii="Verdana" w:hAnsi="Verdana"/>
          <w:sz w:val="20"/>
          <w:szCs w:val="20"/>
          <w:lang w:val="en-US"/>
        </w:rPr>
        <w:t>libitum</w:t>
      </w:r>
      <w:proofErr w:type="spellEnd"/>
      <w:r w:rsidRPr="00CB39B0">
        <w:rPr>
          <w:rFonts w:ascii="Verdana" w:hAnsi="Verdana"/>
          <w:sz w:val="20"/>
          <w:szCs w:val="20"/>
          <w:lang w:val="en-US"/>
        </w:rPr>
        <w:t xml:space="preserve"> consumption of </w:t>
      </w:r>
      <w:proofErr w:type="spellStart"/>
      <w:r w:rsidRPr="00CB39B0">
        <w:rPr>
          <w:rFonts w:ascii="Verdana" w:hAnsi="Verdana"/>
          <w:sz w:val="20"/>
          <w:szCs w:val="20"/>
          <w:lang w:val="en-US"/>
        </w:rPr>
        <w:t>diacylglycerol</w:t>
      </w:r>
      <w:proofErr w:type="spellEnd"/>
      <w:r w:rsidRPr="00CB39B0">
        <w:rPr>
          <w:rFonts w:ascii="Verdana" w:hAnsi="Verdana"/>
          <w:sz w:val="20"/>
          <w:szCs w:val="20"/>
          <w:lang w:val="en-US"/>
        </w:rPr>
        <w:t xml:space="preserve"> oil as part of a regular diet results in modest weight loss in comparison with consumption of a </w:t>
      </w:r>
      <w:proofErr w:type="spellStart"/>
      <w:r w:rsidRPr="00CB39B0">
        <w:rPr>
          <w:rFonts w:ascii="Verdana" w:hAnsi="Verdana"/>
          <w:sz w:val="20"/>
          <w:szCs w:val="20"/>
          <w:lang w:val="en-US"/>
        </w:rPr>
        <w:t>triacylglycerol</w:t>
      </w:r>
      <w:proofErr w:type="spellEnd"/>
      <w:r w:rsidRPr="00CB39B0">
        <w:rPr>
          <w:rFonts w:ascii="Verdana" w:hAnsi="Verdana"/>
          <w:sz w:val="20"/>
          <w:szCs w:val="20"/>
          <w:lang w:val="en-US"/>
        </w:rPr>
        <w:t xml:space="preserve"> control oil in overweight Japanese subjects. J Am Diet Assoc. 2008</w:t>
      </w:r>
      <w:proofErr w:type="gramStart"/>
      <w:r w:rsidRPr="00CB39B0">
        <w:rPr>
          <w:rFonts w:ascii="Verdana" w:hAnsi="Verdana"/>
          <w:sz w:val="20"/>
          <w:szCs w:val="20"/>
          <w:lang w:val="en-US"/>
        </w:rPr>
        <w:t>;108</w:t>
      </w:r>
      <w:proofErr w:type="gramEnd"/>
      <w:r w:rsidRPr="00CB39B0">
        <w:rPr>
          <w:rFonts w:ascii="Verdana" w:hAnsi="Verdana"/>
          <w:sz w:val="20"/>
          <w:szCs w:val="20"/>
          <w:lang w:val="en-US"/>
        </w:rPr>
        <w:t>(1):57-66.         </w:t>
      </w:r>
      <w:proofErr w:type="gramStart"/>
      <w:r w:rsidRPr="00E07ACC">
        <w:rPr>
          <w:rFonts w:ascii="Verdana" w:hAnsi="Verdana"/>
          <w:sz w:val="20"/>
          <w:szCs w:val="20"/>
          <w:lang w:val="en-US"/>
        </w:rPr>
        <w:t>[ </w:t>
      </w:r>
      <w:proofErr w:type="gramEnd"/>
      <w:r w:rsidR="00091405">
        <w:rPr>
          <w:rFonts w:ascii="Verdana" w:hAnsi="Verdana"/>
          <w:sz w:val="20"/>
          <w:szCs w:val="20"/>
        </w:rPr>
        <w:fldChar w:fldCharType="begin"/>
      </w:r>
      <w:r w:rsidRPr="00E07ACC">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E07ACC">
        <w:rPr>
          <w:rStyle w:val="Hyperlink"/>
          <w:rFonts w:ascii="Verdana" w:hAnsi="Verdana"/>
          <w:sz w:val="20"/>
          <w:szCs w:val="20"/>
          <w:lang w:val="en-US"/>
        </w:rPr>
        <w:t>Links</w:t>
      </w:r>
      <w:r w:rsidR="00091405">
        <w:rPr>
          <w:rFonts w:ascii="Verdana" w:hAnsi="Verdana"/>
          <w:sz w:val="20"/>
          <w:szCs w:val="20"/>
        </w:rPr>
        <w:fldChar w:fldCharType="end"/>
      </w:r>
      <w:r w:rsidRPr="00E07ACC">
        <w:rPr>
          <w:rFonts w:ascii="Verdana" w:hAnsi="Verdana"/>
          <w:sz w:val="20"/>
          <w:szCs w:val="20"/>
          <w:lang w:val="en-US"/>
        </w:rPr>
        <w:t> ]</w:t>
      </w:r>
    </w:p>
    <w:p w:rsidR="00CB39B0" w:rsidRPr="00CB39B0" w:rsidRDefault="00CB39B0" w:rsidP="00CB39B0">
      <w:pPr>
        <w:pStyle w:val="NormalWeb"/>
        <w:rPr>
          <w:lang w:val="en-US"/>
        </w:rPr>
      </w:pPr>
      <w:r w:rsidRPr="00E07ACC">
        <w:rPr>
          <w:rFonts w:ascii="Verdana" w:hAnsi="Verdana"/>
          <w:sz w:val="20"/>
          <w:szCs w:val="20"/>
          <w:lang w:val="en-US"/>
        </w:rPr>
        <w:t xml:space="preserve">31. Ma Y, Olendzki BC, Merriam PA, Chiriboga DE, Culver AL, Li W, et al. </w:t>
      </w:r>
      <w:r w:rsidRPr="00CB39B0">
        <w:rPr>
          <w:rFonts w:ascii="Verdana" w:hAnsi="Verdana"/>
          <w:sz w:val="20"/>
          <w:szCs w:val="20"/>
          <w:lang w:val="en-US"/>
        </w:rPr>
        <w:t>A randomized clinical trial comparing low-</w:t>
      </w:r>
      <w:proofErr w:type="spellStart"/>
      <w:r w:rsidRPr="00CB39B0">
        <w:rPr>
          <w:rFonts w:ascii="Verdana" w:hAnsi="Verdana"/>
          <w:sz w:val="20"/>
          <w:szCs w:val="20"/>
          <w:lang w:val="en-US"/>
        </w:rPr>
        <w:t>glycemic</w:t>
      </w:r>
      <w:proofErr w:type="spellEnd"/>
      <w:r w:rsidRPr="00CB39B0">
        <w:rPr>
          <w:rFonts w:ascii="Verdana" w:hAnsi="Verdana"/>
          <w:sz w:val="20"/>
          <w:szCs w:val="20"/>
          <w:lang w:val="en-US"/>
        </w:rPr>
        <w:t xml:space="preserve"> index versus ADA dietary education among individuals with type 2 diabetes. </w:t>
      </w:r>
      <w:proofErr w:type="gramStart"/>
      <w:r w:rsidRPr="00CB39B0">
        <w:rPr>
          <w:rFonts w:ascii="Verdana" w:hAnsi="Verdana"/>
          <w:sz w:val="20"/>
          <w:szCs w:val="20"/>
          <w:lang w:val="en-US"/>
        </w:rPr>
        <w:t>Nutrition.</w:t>
      </w:r>
      <w:proofErr w:type="gramEnd"/>
      <w:r w:rsidRPr="00CB39B0">
        <w:rPr>
          <w:rFonts w:ascii="Verdana" w:hAnsi="Verdana"/>
          <w:sz w:val="20"/>
          <w:szCs w:val="20"/>
          <w:lang w:val="en-US"/>
        </w:rPr>
        <w:t xml:space="preserve"> 2008</w:t>
      </w:r>
      <w:proofErr w:type="gramStart"/>
      <w:r w:rsidRPr="00CB39B0">
        <w:rPr>
          <w:rFonts w:ascii="Verdana" w:hAnsi="Verdana"/>
          <w:sz w:val="20"/>
          <w:szCs w:val="20"/>
          <w:lang w:val="en-US"/>
        </w:rPr>
        <w:t>;24</w:t>
      </w:r>
      <w:proofErr w:type="gramEnd"/>
      <w:r w:rsidRPr="00CB39B0">
        <w:rPr>
          <w:rFonts w:ascii="Verdana" w:hAnsi="Verdana"/>
          <w:sz w:val="20"/>
          <w:szCs w:val="20"/>
          <w:lang w:val="en-US"/>
        </w:rPr>
        <w:t>(1):45-56.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32. </w:t>
      </w:r>
      <w:proofErr w:type="spellStart"/>
      <w:r w:rsidRPr="00CB39B0">
        <w:rPr>
          <w:rFonts w:ascii="Verdana" w:hAnsi="Verdana"/>
          <w:sz w:val="20"/>
          <w:szCs w:val="20"/>
          <w:lang w:val="en-US"/>
        </w:rPr>
        <w:t>Shai</w:t>
      </w:r>
      <w:proofErr w:type="spellEnd"/>
      <w:r w:rsidRPr="00CB39B0">
        <w:rPr>
          <w:rFonts w:ascii="Verdana" w:hAnsi="Verdana"/>
          <w:sz w:val="20"/>
          <w:szCs w:val="20"/>
          <w:lang w:val="en-US"/>
        </w:rPr>
        <w:t xml:space="preserve"> I, </w:t>
      </w:r>
      <w:proofErr w:type="spellStart"/>
      <w:r w:rsidRPr="00CB39B0">
        <w:rPr>
          <w:rFonts w:ascii="Verdana" w:hAnsi="Verdana"/>
          <w:sz w:val="20"/>
          <w:szCs w:val="20"/>
          <w:lang w:val="en-US"/>
        </w:rPr>
        <w:t>Schwarzfuchs</w:t>
      </w:r>
      <w:proofErr w:type="spellEnd"/>
      <w:r w:rsidRPr="00CB39B0">
        <w:rPr>
          <w:rFonts w:ascii="Verdana" w:hAnsi="Verdana"/>
          <w:sz w:val="20"/>
          <w:szCs w:val="20"/>
          <w:lang w:val="en-US"/>
        </w:rPr>
        <w:t xml:space="preserve"> D, </w:t>
      </w:r>
      <w:proofErr w:type="spellStart"/>
      <w:r w:rsidRPr="00CB39B0">
        <w:rPr>
          <w:rFonts w:ascii="Verdana" w:hAnsi="Verdana"/>
          <w:sz w:val="20"/>
          <w:szCs w:val="20"/>
          <w:lang w:val="en-US"/>
        </w:rPr>
        <w:t>Henkin</w:t>
      </w:r>
      <w:proofErr w:type="spellEnd"/>
      <w:r w:rsidRPr="00CB39B0">
        <w:rPr>
          <w:rFonts w:ascii="Verdana" w:hAnsi="Verdana"/>
          <w:sz w:val="20"/>
          <w:szCs w:val="20"/>
          <w:lang w:val="en-US"/>
        </w:rPr>
        <w:t xml:space="preserve"> Y, </w:t>
      </w:r>
      <w:proofErr w:type="spellStart"/>
      <w:r w:rsidRPr="00CB39B0">
        <w:rPr>
          <w:rFonts w:ascii="Verdana" w:hAnsi="Verdana"/>
          <w:sz w:val="20"/>
          <w:szCs w:val="20"/>
          <w:lang w:val="en-US"/>
        </w:rPr>
        <w:t>Shahar</w:t>
      </w:r>
      <w:proofErr w:type="spellEnd"/>
      <w:r w:rsidRPr="00CB39B0">
        <w:rPr>
          <w:rFonts w:ascii="Verdana" w:hAnsi="Verdana"/>
          <w:sz w:val="20"/>
          <w:szCs w:val="20"/>
          <w:lang w:val="en-US"/>
        </w:rPr>
        <w:t xml:space="preserve"> DR, </w:t>
      </w:r>
      <w:proofErr w:type="spellStart"/>
      <w:r w:rsidRPr="00CB39B0">
        <w:rPr>
          <w:rFonts w:ascii="Verdana" w:hAnsi="Verdana"/>
          <w:sz w:val="20"/>
          <w:szCs w:val="20"/>
          <w:lang w:val="en-US"/>
        </w:rPr>
        <w:t>Witkow</w:t>
      </w:r>
      <w:proofErr w:type="spellEnd"/>
      <w:r w:rsidRPr="00CB39B0">
        <w:rPr>
          <w:rFonts w:ascii="Verdana" w:hAnsi="Verdana"/>
          <w:sz w:val="20"/>
          <w:szCs w:val="20"/>
          <w:lang w:val="en-US"/>
        </w:rPr>
        <w:t xml:space="preserve"> S, Greenberg I, et al. Weight loss with a low-carbohydrate, Mediterranean, or low-fat diet. N </w:t>
      </w:r>
      <w:proofErr w:type="spellStart"/>
      <w:r w:rsidRPr="00CB39B0">
        <w:rPr>
          <w:rFonts w:ascii="Verdana" w:hAnsi="Verdana"/>
          <w:sz w:val="20"/>
          <w:szCs w:val="20"/>
          <w:lang w:val="en-US"/>
        </w:rPr>
        <w:t>Engl</w:t>
      </w:r>
      <w:proofErr w:type="spellEnd"/>
      <w:r w:rsidRPr="00CB39B0">
        <w:rPr>
          <w:rFonts w:ascii="Verdana" w:hAnsi="Verdana"/>
          <w:sz w:val="20"/>
          <w:szCs w:val="20"/>
          <w:lang w:val="en-US"/>
        </w:rPr>
        <w:t xml:space="preserve"> J Med. 2008</w:t>
      </w:r>
      <w:proofErr w:type="gramStart"/>
      <w:r w:rsidRPr="00CB39B0">
        <w:rPr>
          <w:rFonts w:ascii="Verdana" w:hAnsi="Verdana"/>
          <w:sz w:val="20"/>
          <w:szCs w:val="20"/>
          <w:lang w:val="en-US"/>
        </w:rPr>
        <w:t>;359</w:t>
      </w:r>
      <w:proofErr w:type="gramEnd"/>
      <w:r w:rsidRPr="00CB39B0">
        <w:rPr>
          <w:rFonts w:ascii="Verdana" w:hAnsi="Verdana"/>
          <w:sz w:val="20"/>
          <w:szCs w:val="20"/>
          <w:lang w:val="en-US"/>
        </w:rPr>
        <w:t>(3):229-41.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E30584" w:rsidRDefault="00CB39B0" w:rsidP="00CB39B0">
      <w:pPr>
        <w:pStyle w:val="NormalWeb"/>
        <w:rPr>
          <w:lang w:val="en-US"/>
        </w:rPr>
      </w:pPr>
      <w:r w:rsidRPr="00CB39B0">
        <w:rPr>
          <w:rFonts w:ascii="Verdana" w:hAnsi="Verdana"/>
          <w:sz w:val="20"/>
          <w:szCs w:val="20"/>
          <w:lang w:val="en-US"/>
        </w:rPr>
        <w:lastRenderedPageBreak/>
        <w:t>33. Thorpe MP, Jacobson EH, Layman DK, He X, Kris-</w:t>
      </w:r>
      <w:proofErr w:type="spellStart"/>
      <w:r w:rsidRPr="00CB39B0">
        <w:rPr>
          <w:rFonts w:ascii="Verdana" w:hAnsi="Verdana"/>
          <w:sz w:val="20"/>
          <w:szCs w:val="20"/>
          <w:lang w:val="en-US"/>
        </w:rPr>
        <w:t>Etherton</w:t>
      </w:r>
      <w:proofErr w:type="spellEnd"/>
      <w:r w:rsidRPr="00CB39B0">
        <w:rPr>
          <w:rFonts w:ascii="Verdana" w:hAnsi="Verdana"/>
          <w:sz w:val="20"/>
          <w:szCs w:val="20"/>
          <w:lang w:val="en-US"/>
        </w:rPr>
        <w:t xml:space="preserve"> PM, Evans EM. A diet high in protein, dairy, and calcium attenuates bone loss over twelve months of weight loss and maintenance relative to a conventional high-carbohydrate diet in adults. </w:t>
      </w:r>
      <w:proofErr w:type="gramStart"/>
      <w:r w:rsidRPr="00E30584">
        <w:rPr>
          <w:rFonts w:ascii="Verdana" w:hAnsi="Verdana"/>
          <w:sz w:val="20"/>
          <w:szCs w:val="20"/>
          <w:lang w:val="en-US"/>
        </w:rPr>
        <w:t xml:space="preserve">J </w:t>
      </w:r>
      <w:proofErr w:type="spellStart"/>
      <w:r w:rsidRPr="00E30584">
        <w:rPr>
          <w:rFonts w:ascii="Verdana" w:hAnsi="Verdana"/>
          <w:sz w:val="20"/>
          <w:szCs w:val="20"/>
          <w:lang w:val="en-US"/>
        </w:rPr>
        <w:t>Nutr</w:t>
      </w:r>
      <w:proofErr w:type="spellEnd"/>
      <w:r w:rsidRPr="00E30584">
        <w:rPr>
          <w:rFonts w:ascii="Verdana" w:hAnsi="Verdana"/>
          <w:sz w:val="20"/>
          <w:szCs w:val="20"/>
          <w:lang w:val="en-US"/>
        </w:rPr>
        <w:t>.</w:t>
      </w:r>
      <w:proofErr w:type="gramEnd"/>
      <w:r w:rsidRPr="00E30584">
        <w:rPr>
          <w:rFonts w:ascii="Verdana" w:hAnsi="Verdana"/>
          <w:sz w:val="20"/>
          <w:szCs w:val="20"/>
          <w:lang w:val="en-US"/>
        </w:rPr>
        <w:t xml:space="preserve"> 2008</w:t>
      </w:r>
      <w:proofErr w:type="gramStart"/>
      <w:r w:rsidRPr="00E30584">
        <w:rPr>
          <w:rFonts w:ascii="Verdana" w:hAnsi="Verdana"/>
          <w:sz w:val="20"/>
          <w:szCs w:val="20"/>
          <w:lang w:val="en-US"/>
        </w:rPr>
        <w:t>;138</w:t>
      </w:r>
      <w:proofErr w:type="gramEnd"/>
      <w:r w:rsidRPr="00E30584">
        <w:rPr>
          <w:rFonts w:ascii="Verdana" w:hAnsi="Verdana"/>
          <w:sz w:val="20"/>
          <w:szCs w:val="20"/>
          <w:lang w:val="en-US"/>
        </w:rPr>
        <w:t>(6):1096-100.         </w:t>
      </w:r>
      <w:proofErr w:type="gramStart"/>
      <w:r w:rsidRPr="00E30584">
        <w:rPr>
          <w:rFonts w:ascii="Verdana" w:hAnsi="Verdana"/>
          <w:sz w:val="20"/>
          <w:szCs w:val="20"/>
          <w:lang w:val="en-US"/>
        </w:rPr>
        <w:t>[ </w:t>
      </w:r>
      <w:proofErr w:type="gramEnd"/>
      <w:r w:rsidR="00091405">
        <w:rPr>
          <w:rFonts w:ascii="Verdana" w:hAnsi="Verdana"/>
          <w:sz w:val="20"/>
          <w:szCs w:val="20"/>
        </w:rPr>
        <w:fldChar w:fldCharType="begin"/>
      </w:r>
      <w:r w:rsidRPr="00E30584">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E30584">
        <w:rPr>
          <w:rStyle w:val="Hyperlink"/>
          <w:rFonts w:ascii="Verdana" w:hAnsi="Verdana"/>
          <w:sz w:val="20"/>
          <w:szCs w:val="20"/>
          <w:lang w:val="en-US"/>
        </w:rPr>
        <w:t>Links</w:t>
      </w:r>
      <w:r w:rsidR="00091405">
        <w:rPr>
          <w:rFonts w:ascii="Verdana" w:hAnsi="Verdana"/>
          <w:sz w:val="20"/>
          <w:szCs w:val="20"/>
        </w:rPr>
        <w:fldChar w:fldCharType="end"/>
      </w:r>
      <w:r w:rsidRPr="00E30584">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34. </w:t>
      </w:r>
      <w:proofErr w:type="spellStart"/>
      <w:r w:rsidRPr="00CB39B0">
        <w:rPr>
          <w:rFonts w:ascii="Verdana" w:hAnsi="Verdana"/>
          <w:sz w:val="20"/>
          <w:szCs w:val="20"/>
          <w:lang w:val="en-US"/>
        </w:rPr>
        <w:t>Villareal</w:t>
      </w:r>
      <w:proofErr w:type="spellEnd"/>
      <w:r w:rsidRPr="00CB39B0">
        <w:rPr>
          <w:rFonts w:ascii="Verdana" w:hAnsi="Verdana"/>
          <w:sz w:val="20"/>
          <w:szCs w:val="20"/>
          <w:lang w:val="en-US"/>
        </w:rPr>
        <w:t xml:space="preserve"> DT, Shah K, Banks MR, </w:t>
      </w:r>
      <w:proofErr w:type="spellStart"/>
      <w:r w:rsidRPr="00CB39B0">
        <w:rPr>
          <w:rFonts w:ascii="Verdana" w:hAnsi="Verdana"/>
          <w:sz w:val="20"/>
          <w:szCs w:val="20"/>
          <w:lang w:val="en-US"/>
        </w:rPr>
        <w:t>Sinacore</w:t>
      </w:r>
      <w:proofErr w:type="spellEnd"/>
      <w:r w:rsidRPr="00CB39B0">
        <w:rPr>
          <w:rFonts w:ascii="Verdana" w:hAnsi="Verdana"/>
          <w:sz w:val="20"/>
          <w:szCs w:val="20"/>
          <w:lang w:val="en-US"/>
        </w:rPr>
        <w:t xml:space="preserve"> DR, Klein S. Effect of weight loss and exercise therapy on bone metabolism and mass in obese older adults: a one-year randomized controlled trial. </w:t>
      </w:r>
      <w:proofErr w:type="gramStart"/>
      <w:r w:rsidRPr="00CB39B0">
        <w:rPr>
          <w:rFonts w:ascii="Verdana" w:hAnsi="Verdana"/>
          <w:sz w:val="20"/>
          <w:szCs w:val="20"/>
          <w:lang w:val="en-US"/>
        </w:rPr>
        <w:t xml:space="preserve">J </w:t>
      </w:r>
      <w:proofErr w:type="spellStart"/>
      <w:r w:rsidRPr="00CB39B0">
        <w:rPr>
          <w:rFonts w:ascii="Verdana" w:hAnsi="Verdana"/>
          <w:sz w:val="20"/>
          <w:szCs w:val="20"/>
          <w:lang w:val="en-US"/>
        </w:rPr>
        <w:t>Clin</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Endocrinol</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Metab</w:t>
      </w:r>
      <w:proofErr w:type="spellEnd"/>
      <w:r w:rsidRPr="00CB39B0">
        <w:rPr>
          <w:rFonts w:ascii="Verdana" w:hAnsi="Verdana"/>
          <w:sz w:val="20"/>
          <w:szCs w:val="20"/>
          <w:lang w:val="en-US"/>
        </w:rPr>
        <w:t>.</w:t>
      </w:r>
      <w:proofErr w:type="gramEnd"/>
      <w:r w:rsidRPr="00CB39B0">
        <w:rPr>
          <w:rFonts w:ascii="Verdana" w:hAnsi="Verdana"/>
          <w:sz w:val="20"/>
          <w:szCs w:val="20"/>
          <w:lang w:val="en-US"/>
        </w:rPr>
        <w:t xml:space="preserve"> 2008</w:t>
      </w:r>
      <w:proofErr w:type="gramStart"/>
      <w:r w:rsidRPr="00CB39B0">
        <w:rPr>
          <w:rFonts w:ascii="Verdana" w:hAnsi="Verdana"/>
          <w:sz w:val="20"/>
          <w:szCs w:val="20"/>
          <w:lang w:val="en-US"/>
        </w:rPr>
        <w:t>;93</w:t>
      </w:r>
      <w:proofErr w:type="gramEnd"/>
      <w:r w:rsidRPr="00CB39B0">
        <w:rPr>
          <w:rFonts w:ascii="Verdana" w:hAnsi="Verdana"/>
          <w:sz w:val="20"/>
          <w:szCs w:val="20"/>
          <w:lang w:val="en-US"/>
        </w:rPr>
        <w:t>(6):2181-7.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Default="00CB39B0" w:rsidP="00CB39B0">
      <w:pPr>
        <w:pStyle w:val="NormalWeb"/>
      </w:pPr>
      <w:r w:rsidRPr="00CB39B0">
        <w:rPr>
          <w:rFonts w:ascii="Verdana" w:hAnsi="Verdana"/>
          <w:sz w:val="20"/>
          <w:szCs w:val="20"/>
          <w:lang w:val="en-US"/>
        </w:rPr>
        <w:t xml:space="preserve">35. Sacks FM, Bray GA, Carey VJ, Smith SR, Ryan DH, </w:t>
      </w:r>
      <w:proofErr w:type="gramStart"/>
      <w:r w:rsidRPr="00CB39B0">
        <w:rPr>
          <w:rFonts w:ascii="Verdana" w:hAnsi="Verdana"/>
          <w:sz w:val="20"/>
          <w:szCs w:val="20"/>
          <w:lang w:val="en-US"/>
        </w:rPr>
        <w:t>Anton</w:t>
      </w:r>
      <w:proofErr w:type="gramEnd"/>
      <w:r w:rsidRPr="00CB39B0">
        <w:rPr>
          <w:rFonts w:ascii="Verdana" w:hAnsi="Verdana"/>
          <w:sz w:val="20"/>
          <w:szCs w:val="20"/>
          <w:lang w:val="en-US"/>
        </w:rPr>
        <w:t xml:space="preserve"> SD, et al. Comparison of weight-loss diets with different compositions of fat, protein, and carbohydrates. </w:t>
      </w:r>
      <w:r>
        <w:rPr>
          <w:rFonts w:ascii="Verdana" w:hAnsi="Verdana"/>
          <w:sz w:val="20"/>
          <w:szCs w:val="20"/>
        </w:rPr>
        <w:t xml:space="preserve">N </w:t>
      </w:r>
      <w:proofErr w:type="spellStart"/>
      <w:r>
        <w:rPr>
          <w:rFonts w:ascii="Verdana" w:hAnsi="Verdana"/>
          <w:sz w:val="20"/>
          <w:szCs w:val="20"/>
        </w:rPr>
        <w:t>Engl</w:t>
      </w:r>
      <w:proofErr w:type="spellEnd"/>
      <w:r>
        <w:rPr>
          <w:rFonts w:ascii="Verdana" w:hAnsi="Verdana"/>
          <w:sz w:val="20"/>
          <w:szCs w:val="20"/>
        </w:rPr>
        <w:t xml:space="preserve"> J Med. </w:t>
      </w:r>
      <w:proofErr w:type="gramStart"/>
      <w:r>
        <w:rPr>
          <w:rFonts w:ascii="Verdana" w:hAnsi="Verdana"/>
          <w:sz w:val="20"/>
          <w:szCs w:val="20"/>
        </w:rPr>
        <w:t>2009;</w:t>
      </w:r>
      <w:proofErr w:type="gramEnd"/>
      <w:r>
        <w:rPr>
          <w:rFonts w:ascii="Verdana" w:hAnsi="Verdana"/>
          <w:sz w:val="20"/>
          <w:szCs w:val="20"/>
        </w:rPr>
        <w:t>360(9):859-73.         </w:t>
      </w:r>
      <w:proofErr w:type="gramStart"/>
      <w:r>
        <w:rPr>
          <w:rFonts w:ascii="Verdana" w:hAnsi="Verdana"/>
          <w:sz w:val="20"/>
          <w:szCs w:val="20"/>
        </w:rPr>
        <w:t>[ </w:t>
      </w:r>
      <w:proofErr w:type="gramEnd"/>
      <w:r w:rsidR="00091405">
        <w:rPr>
          <w:rFonts w:ascii="Verdana" w:hAnsi="Verdana"/>
          <w:sz w:val="20"/>
          <w:szCs w:val="20"/>
        </w:rPr>
        <w:fldChar w:fldCharType="begin"/>
      </w:r>
      <w:r>
        <w:rPr>
          <w:rFonts w:ascii="Verdana" w:hAnsi="Verdana"/>
          <w:sz w:val="20"/>
          <w:szCs w:val="20"/>
        </w:rPr>
        <w:instrText xml:space="preserve"> HYPERLINK "javascript:void(0);" </w:instrText>
      </w:r>
      <w:r w:rsidR="00091405">
        <w:rPr>
          <w:rFonts w:ascii="Verdana" w:hAnsi="Verdana"/>
          <w:sz w:val="20"/>
          <w:szCs w:val="20"/>
        </w:rPr>
        <w:fldChar w:fldCharType="separate"/>
      </w:r>
      <w:r>
        <w:rPr>
          <w:rStyle w:val="Hyperlink"/>
          <w:rFonts w:ascii="Verdana" w:hAnsi="Verdana"/>
          <w:sz w:val="20"/>
          <w:szCs w:val="20"/>
        </w:rPr>
        <w:t>Links</w:t>
      </w:r>
      <w:r w:rsidR="00091405">
        <w:rPr>
          <w:rFonts w:ascii="Verdana" w:hAnsi="Verdana"/>
          <w:sz w:val="20"/>
          <w:szCs w:val="20"/>
        </w:rPr>
        <w:fldChar w:fldCharType="end"/>
      </w:r>
      <w:r>
        <w:rPr>
          <w:rFonts w:ascii="Verdana" w:hAnsi="Verdana"/>
          <w:sz w:val="20"/>
          <w:szCs w:val="20"/>
        </w:rPr>
        <w:t> ]</w:t>
      </w:r>
    </w:p>
    <w:p w:rsidR="00CB39B0" w:rsidRPr="00CB39B0" w:rsidRDefault="00CB39B0" w:rsidP="00CB39B0">
      <w:pPr>
        <w:pStyle w:val="NormalWeb"/>
        <w:rPr>
          <w:lang w:val="en-US"/>
        </w:rPr>
      </w:pPr>
      <w:r>
        <w:rPr>
          <w:rFonts w:ascii="Verdana" w:hAnsi="Verdana"/>
          <w:sz w:val="20"/>
          <w:szCs w:val="20"/>
        </w:rPr>
        <w:t xml:space="preserve">36. </w:t>
      </w:r>
      <w:proofErr w:type="spellStart"/>
      <w:r>
        <w:rPr>
          <w:rFonts w:ascii="Verdana" w:hAnsi="Verdana"/>
          <w:sz w:val="20"/>
          <w:szCs w:val="20"/>
        </w:rPr>
        <w:t>Journal</w:t>
      </w:r>
      <w:proofErr w:type="spellEnd"/>
      <w:r>
        <w:rPr>
          <w:rFonts w:ascii="Verdana" w:hAnsi="Verdana"/>
          <w:sz w:val="20"/>
          <w:szCs w:val="20"/>
        </w:rPr>
        <w:t xml:space="preserve"> </w:t>
      </w:r>
      <w:proofErr w:type="spellStart"/>
      <w:r>
        <w:rPr>
          <w:rFonts w:ascii="Verdana" w:hAnsi="Verdana"/>
          <w:sz w:val="20"/>
          <w:szCs w:val="20"/>
        </w:rPr>
        <w:t>Citation</w:t>
      </w:r>
      <w:proofErr w:type="spellEnd"/>
      <w:r>
        <w:rPr>
          <w:rFonts w:ascii="Verdana" w:hAnsi="Verdana"/>
          <w:sz w:val="20"/>
          <w:szCs w:val="20"/>
        </w:rPr>
        <w:t xml:space="preserve"> </w:t>
      </w:r>
      <w:proofErr w:type="spellStart"/>
      <w:r>
        <w:rPr>
          <w:rFonts w:ascii="Verdana" w:hAnsi="Verdana"/>
          <w:sz w:val="20"/>
          <w:szCs w:val="20"/>
        </w:rPr>
        <w:t>Reports</w:t>
      </w:r>
      <w:proofErr w:type="spellEnd"/>
      <w:r>
        <w:rPr>
          <w:rFonts w:ascii="Verdana" w:hAnsi="Verdana"/>
          <w:sz w:val="20"/>
          <w:szCs w:val="20"/>
        </w:rPr>
        <w:t xml:space="preserve">. Disponível em: </w:t>
      </w:r>
      <w:hyperlink r:id="rId23" w:tgtFrame="_blank" w:history="1">
        <w:r>
          <w:rPr>
            <w:rStyle w:val="Hyperlink"/>
            <w:rFonts w:ascii="Verdana" w:hAnsi="Verdana"/>
            <w:sz w:val="20"/>
            <w:szCs w:val="20"/>
          </w:rPr>
          <w:t>http://admin-apps.isiknowledge.com/JCR/JCR</w:t>
        </w:r>
      </w:hyperlink>
      <w:r>
        <w:rPr>
          <w:rFonts w:ascii="Verdana" w:hAnsi="Verdana"/>
          <w:sz w:val="20"/>
          <w:szCs w:val="20"/>
        </w:rPr>
        <w:t>. Acesso em: 12 mar. 2009.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37. </w:t>
      </w:r>
      <w:proofErr w:type="spellStart"/>
      <w:r w:rsidRPr="00CB39B0">
        <w:rPr>
          <w:rFonts w:ascii="Verdana" w:hAnsi="Verdana"/>
          <w:sz w:val="20"/>
          <w:szCs w:val="20"/>
          <w:lang w:val="en-US"/>
        </w:rPr>
        <w:t>Nordmann</w:t>
      </w:r>
      <w:proofErr w:type="spellEnd"/>
      <w:r w:rsidRPr="00CB39B0">
        <w:rPr>
          <w:rFonts w:ascii="Verdana" w:hAnsi="Verdana"/>
          <w:sz w:val="20"/>
          <w:szCs w:val="20"/>
          <w:lang w:val="en-US"/>
        </w:rPr>
        <w:t xml:space="preserve"> AJ, </w:t>
      </w:r>
      <w:proofErr w:type="spellStart"/>
      <w:r w:rsidRPr="00CB39B0">
        <w:rPr>
          <w:rFonts w:ascii="Verdana" w:hAnsi="Verdana"/>
          <w:sz w:val="20"/>
          <w:szCs w:val="20"/>
          <w:lang w:val="en-US"/>
        </w:rPr>
        <w:t>Nordmann</w:t>
      </w:r>
      <w:proofErr w:type="spellEnd"/>
      <w:r w:rsidRPr="00CB39B0">
        <w:rPr>
          <w:rFonts w:ascii="Verdana" w:hAnsi="Verdana"/>
          <w:sz w:val="20"/>
          <w:szCs w:val="20"/>
          <w:lang w:val="en-US"/>
        </w:rPr>
        <w:t xml:space="preserve"> A, </w:t>
      </w:r>
      <w:proofErr w:type="spellStart"/>
      <w:r w:rsidRPr="00CB39B0">
        <w:rPr>
          <w:rFonts w:ascii="Verdana" w:hAnsi="Verdana"/>
          <w:sz w:val="20"/>
          <w:szCs w:val="20"/>
          <w:lang w:val="en-US"/>
        </w:rPr>
        <w:t>Briel</w:t>
      </w:r>
      <w:proofErr w:type="spellEnd"/>
      <w:r w:rsidRPr="00CB39B0">
        <w:rPr>
          <w:rFonts w:ascii="Verdana" w:hAnsi="Verdana"/>
          <w:sz w:val="20"/>
          <w:szCs w:val="20"/>
          <w:lang w:val="en-US"/>
        </w:rPr>
        <w:t xml:space="preserve"> M, Keller U, </w:t>
      </w:r>
      <w:proofErr w:type="spellStart"/>
      <w:r w:rsidRPr="00CB39B0">
        <w:rPr>
          <w:rFonts w:ascii="Verdana" w:hAnsi="Verdana"/>
          <w:sz w:val="20"/>
          <w:szCs w:val="20"/>
          <w:lang w:val="en-US"/>
        </w:rPr>
        <w:t>Yancy</w:t>
      </w:r>
      <w:proofErr w:type="spellEnd"/>
      <w:r w:rsidRPr="00CB39B0">
        <w:rPr>
          <w:rFonts w:ascii="Verdana" w:hAnsi="Verdana"/>
          <w:sz w:val="20"/>
          <w:szCs w:val="20"/>
          <w:lang w:val="en-US"/>
        </w:rPr>
        <w:t xml:space="preserve"> WS, </w:t>
      </w:r>
      <w:proofErr w:type="spellStart"/>
      <w:r w:rsidRPr="00CB39B0">
        <w:rPr>
          <w:rFonts w:ascii="Verdana" w:hAnsi="Verdana"/>
          <w:sz w:val="20"/>
          <w:szCs w:val="20"/>
          <w:lang w:val="en-US"/>
        </w:rPr>
        <w:t>Brehm</w:t>
      </w:r>
      <w:proofErr w:type="spellEnd"/>
      <w:r w:rsidRPr="00CB39B0">
        <w:rPr>
          <w:rFonts w:ascii="Verdana" w:hAnsi="Verdana"/>
          <w:sz w:val="20"/>
          <w:szCs w:val="20"/>
          <w:lang w:val="en-US"/>
        </w:rPr>
        <w:t xml:space="preserve"> BJ, et al. Effects of low-carbohydrate </w:t>
      </w:r>
      <w:proofErr w:type="spellStart"/>
      <w:r w:rsidRPr="00CB39B0">
        <w:rPr>
          <w:rFonts w:ascii="Verdana" w:hAnsi="Verdana"/>
          <w:sz w:val="20"/>
          <w:szCs w:val="20"/>
          <w:lang w:val="en-US"/>
        </w:rPr>
        <w:t>vs</w:t>
      </w:r>
      <w:proofErr w:type="spellEnd"/>
      <w:r w:rsidRPr="00CB39B0">
        <w:rPr>
          <w:rFonts w:ascii="Verdana" w:hAnsi="Verdana"/>
          <w:sz w:val="20"/>
          <w:szCs w:val="20"/>
          <w:lang w:val="en-US"/>
        </w:rPr>
        <w:t xml:space="preserve"> low-fat diets on weight loss and cardiovascular risk factors: a meta-analysis of randomized controlled trials. Arch Intern Med. 2006</w:t>
      </w:r>
      <w:proofErr w:type="gramStart"/>
      <w:r w:rsidRPr="00CB39B0">
        <w:rPr>
          <w:rFonts w:ascii="Verdana" w:hAnsi="Verdana"/>
          <w:sz w:val="20"/>
          <w:szCs w:val="20"/>
          <w:lang w:val="en-US"/>
        </w:rPr>
        <w:t>;166:285</w:t>
      </w:r>
      <w:proofErr w:type="gramEnd"/>
      <w:r w:rsidRPr="00CB39B0">
        <w:rPr>
          <w:rFonts w:ascii="Verdana" w:hAnsi="Verdana"/>
          <w:sz w:val="20"/>
          <w:szCs w:val="20"/>
          <w:lang w:val="en-US"/>
        </w:rPr>
        <w:t>-293.         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38. </w:t>
      </w:r>
      <w:proofErr w:type="spellStart"/>
      <w:r w:rsidRPr="00CB39B0">
        <w:rPr>
          <w:rFonts w:ascii="Verdana" w:hAnsi="Verdana"/>
          <w:sz w:val="20"/>
          <w:szCs w:val="20"/>
          <w:lang w:val="en-US"/>
        </w:rPr>
        <w:t>Sánchez-Taínta</w:t>
      </w:r>
      <w:proofErr w:type="spellEnd"/>
      <w:r w:rsidRPr="00CB39B0">
        <w:rPr>
          <w:rFonts w:ascii="Verdana" w:hAnsi="Verdana"/>
          <w:sz w:val="20"/>
          <w:szCs w:val="20"/>
          <w:lang w:val="en-US"/>
        </w:rPr>
        <w:t xml:space="preserve"> A, </w:t>
      </w:r>
      <w:proofErr w:type="spellStart"/>
      <w:r w:rsidRPr="00CB39B0">
        <w:rPr>
          <w:rFonts w:ascii="Verdana" w:hAnsi="Verdana"/>
          <w:sz w:val="20"/>
          <w:szCs w:val="20"/>
          <w:lang w:val="en-US"/>
        </w:rPr>
        <w:t>Estruch</w:t>
      </w:r>
      <w:proofErr w:type="spellEnd"/>
      <w:r w:rsidRPr="00CB39B0">
        <w:rPr>
          <w:rFonts w:ascii="Verdana" w:hAnsi="Verdana"/>
          <w:sz w:val="20"/>
          <w:szCs w:val="20"/>
          <w:lang w:val="en-US"/>
        </w:rPr>
        <w:t xml:space="preserve"> R, </w:t>
      </w:r>
      <w:proofErr w:type="spellStart"/>
      <w:r w:rsidRPr="00CB39B0">
        <w:rPr>
          <w:rFonts w:ascii="Verdana" w:hAnsi="Verdana"/>
          <w:sz w:val="20"/>
          <w:szCs w:val="20"/>
          <w:lang w:val="en-US"/>
        </w:rPr>
        <w:t>Bulló</w:t>
      </w:r>
      <w:proofErr w:type="spellEnd"/>
      <w:r w:rsidRPr="00CB39B0">
        <w:rPr>
          <w:rFonts w:ascii="Verdana" w:hAnsi="Verdana"/>
          <w:sz w:val="20"/>
          <w:szCs w:val="20"/>
          <w:lang w:val="en-US"/>
        </w:rPr>
        <w:t xml:space="preserve"> M, </w:t>
      </w:r>
      <w:proofErr w:type="spellStart"/>
      <w:r w:rsidRPr="00CB39B0">
        <w:rPr>
          <w:rFonts w:ascii="Verdana" w:hAnsi="Verdana"/>
          <w:sz w:val="20"/>
          <w:szCs w:val="20"/>
          <w:lang w:val="en-US"/>
        </w:rPr>
        <w:t>Corella</w:t>
      </w:r>
      <w:proofErr w:type="spellEnd"/>
      <w:r w:rsidRPr="00CB39B0">
        <w:rPr>
          <w:rFonts w:ascii="Verdana" w:hAnsi="Verdana"/>
          <w:sz w:val="20"/>
          <w:szCs w:val="20"/>
          <w:lang w:val="en-US"/>
        </w:rPr>
        <w:t xml:space="preserve"> D, </w:t>
      </w:r>
      <w:proofErr w:type="spellStart"/>
      <w:r w:rsidRPr="00CB39B0">
        <w:rPr>
          <w:rFonts w:ascii="Verdana" w:hAnsi="Verdana"/>
          <w:sz w:val="20"/>
          <w:szCs w:val="20"/>
          <w:lang w:val="en-US"/>
        </w:rPr>
        <w:t>Gómez-Gracia</w:t>
      </w:r>
      <w:proofErr w:type="spellEnd"/>
      <w:r w:rsidRPr="00CB39B0">
        <w:rPr>
          <w:rFonts w:ascii="Verdana" w:hAnsi="Verdana"/>
          <w:sz w:val="20"/>
          <w:szCs w:val="20"/>
          <w:lang w:val="en-US"/>
        </w:rPr>
        <w:t xml:space="preserve"> E, </w:t>
      </w:r>
      <w:proofErr w:type="spellStart"/>
      <w:r w:rsidRPr="00CB39B0">
        <w:rPr>
          <w:rFonts w:ascii="Verdana" w:hAnsi="Verdana"/>
          <w:sz w:val="20"/>
          <w:szCs w:val="20"/>
          <w:lang w:val="en-US"/>
        </w:rPr>
        <w:t>Fiol</w:t>
      </w:r>
      <w:proofErr w:type="spellEnd"/>
      <w:r w:rsidRPr="00CB39B0">
        <w:rPr>
          <w:rFonts w:ascii="Verdana" w:hAnsi="Verdana"/>
          <w:sz w:val="20"/>
          <w:szCs w:val="20"/>
          <w:lang w:val="en-US"/>
        </w:rPr>
        <w:t xml:space="preserve"> M, et al. Adherence to a Mediterranean-type diet and reduced prevalence of clustered cardiovascular risk factors in a cohort of 3,204 high-risk patients. </w:t>
      </w:r>
      <w:proofErr w:type="spellStart"/>
      <w:r w:rsidRPr="00CB39B0">
        <w:rPr>
          <w:rFonts w:ascii="Verdana" w:hAnsi="Verdana"/>
          <w:sz w:val="20"/>
          <w:szCs w:val="20"/>
          <w:lang w:val="en-US"/>
        </w:rPr>
        <w:t>Eur</w:t>
      </w:r>
      <w:proofErr w:type="spellEnd"/>
      <w:r w:rsidRPr="00CB39B0">
        <w:rPr>
          <w:rFonts w:ascii="Verdana" w:hAnsi="Verdana"/>
          <w:sz w:val="20"/>
          <w:szCs w:val="20"/>
          <w:lang w:val="en-US"/>
        </w:rPr>
        <w:t xml:space="preserve"> J </w:t>
      </w:r>
      <w:proofErr w:type="spellStart"/>
      <w:r w:rsidRPr="00CB39B0">
        <w:rPr>
          <w:rFonts w:ascii="Verdana" w:hAnsi="Verdana"/>
          <w:sz w:val="20"/>
          <w:szCs w:val="20"/>
          <w:lang w:val="en-US"/>
        </w:rPr>
        <w:t>Cardiovasc</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Prev</w:t>
      </w:r>
      <w:proofErr w:type="spellEnd"/>
      <w:r w:rsidRPr="00CB39B0">
        <w:rPr>
          <w:rFonts w:ascii="Verdana" w:hAnsi="Verdana"/>
          <w:sz w:val="20"/>
          <w:szCs w:val="20"/>
          <w:lang w:val="en-US"/>
        </w:rPr>
        <w:t xml:space="preserve"> </w:t>
      </w:r>
      <w:proofErr w:type="spellStart"/>
      <w:r w:rsidRPr="00CB39B0">
        <w:rPr>
          <w:rFonts w:ascii="Verdana" w:hAnsi="Verdana"/>
          <w:sz w:val="20"/>
          <w:szCs w:val="20"/>
          <w:lang w:val="en-US"/>
        </w:rPr>
        <w:t>Rehabil</w:t>
      </w:r>
      <w:proofErr w:type="spellEnd"/>
      <w:r w:rsidRPr="00CB39B0">
        <w:rPr>
          <w:rFonts w:ascii="Verdana" w:hAnsi="Verdana"/>
          <w:sz w:val="20"/>
          <w:szCs w:val="20"/>
          <w:lang w:val="en-US"/>
        </w:rPr>
        <w:t>. 2008</w:t>
      </w:r>
      <w:proofErr w:type="gramStart"/>
      <w:r w:rsidRPr="00CB39B0">
        <w:rPr>
          <w:rFonts w:ascii="Verdana" w:hAnsi="Verdana"/>
          <w:sz w:val="20"/>
          <w:szCs w:val="20"/>
          <w:lang w:val="en-US"/>
        </w:rPr>
        <w:t>;15</w:t>
      </w:r>
      <w:proofErr w:type="gramEnd"/>
      <w:r w:rsidRPr="00CB39B0">
        <w:rPr>
          <w:rFonts w:ascii="Verdana" w:hAnsi="Verdana"/>
          <w:sz w:val="20"/>
          <w:szCs w:val="20"/>
          <w:lang w:val="en-US"/>
        </w:rPr>
        <w:t>(5):589-93.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 xml:space="preserve">39. </w:t>
      </w:r>
      <w:proofErr w:type="spellStart"/>
      <w:r w:rsidRPr="00CB39B0">
        <w:rPr>
          <w:rFonts w:ascii="Verdana" w:hAnsi="Verdana"/>
          <w:sz w:val="20"/>
          <w:szCs w:val="20"/>
          <w:lang w:val="en-US"/>
        </w:rPr>
        <w:t>Sofi</w:t>
      </w:r>
      <w:proofErr w:type="spellEnd"/>
      <w:r w:rsidRPr="00CB39B0">
        <w:rPr>
          <w:rFonts w:ascii="Verdana" w:hAnsi="Verdana"/>
          <w:sz w:val="20"/>
          <w:szCs w:val="20"/>
          <w:lang w:val="en-US"/>
        </w:rPr>
        <w:t xml:space="preserve"> F, </w:t>
      </w:r>
      <w:proofErr w:type="spellStart"/>
      <w:r w:rsidRPr="00CB39B0">
        <w:rPr>
          <w:rFonts w:ascii="Verdana" w:hAnsi="Verdana"/>
          <w:sz w:val="20"/>
          <w:szCs w:val="20"/>
          <w:lang w:val="en-US"/>
        </w:rPr>
        <w:t>Cesari</w:t>
      </w:r>
      <w:proofErr w:type="spellEnd"/>
      <w:r w:rsidRPr="00CB39B0">
        <w:rPr>
          <w:rFonts w:ascii="Verdana" w:hAnsi="Verdana"/>
          <w:sz w:val="20"/>
          <w:szCs w:val="20"/>
          <w:lang w:val="en-US"/>
        </w:rPr>
        <w:t xml:space="preserve"> F, </w:t>
      </w:r>
      <w:proofErr w:type="spellStart"/>
      <w:r w:rsidRPr="00CB39B0">
        <w:rPr>
          <w:rFonts w:ascii="Verdana" w:hAnsi="Verdana"/>
          <w:sz w:val="20"/>
          <w:szCs w:val="20"/>
          <w:lang w:val="en-US"/>
        </w:rPr>
        <w:t>Abbate</w:t>
      </w:r>
      <w:proofErr w:type="spellEnd"/>
      <w:r w:rsidRPr="00CB39B0">
        <w:rPr>
          <w:rFonts w:ascii="Verdana" w:hAnsi="Verdana"/>
          <w:sz w:val="20"/>
          <w:szCs w:val="20"/>
          <w:lang w:val="en-US"/>
        </w:rPr>
        <w:t xml:space="preserve"> R, </w:t>
      </w:r>
      <w:proofErr w:type="spellStart"/>
      <w:r w:rsidRPr="00CB39B0">
        <w:rPr>
          <w:rFonts w:ascii="Verdana" w:hAnsi="Verdana"/>
          <w:sz w:val="20"/>
          <w:szCs w:val="20"/>
          <w:lang w:val="en-US"/>
        </w:rPr>
        <w:t>Gensini</w:t>
      </w:r>
      <w:proofErr w:type="spellEnd"/>
      <w:r w:rsidRPr="00CB39B0">
        <w:rPr>
          <w:rFonts w:ascii="Verdana" w:hAnsi="Verdana"/>
          <w:sz w:val="20"/>
          <w:szCs w:val="20"/>
          <w:lang w:val="en-US"/>
        </w:rPr>
        <w:t xml:space="preserve"> GF, </w:t>
      </w:r>
      <w:proofErr w:type="spellStart"/>
      <w:r w:rsidRPr="00CB39B0">
        <w:rPr>
          <w:rFonts w:ascii="Verdana" w:hAnsi="Verdana"/>
          <w:sz w:val="20"/>
          <w:szCs w:val="20"/>
          <w:lang w:val="en-US"/>
        </w:rPr>
        <w:t>Casini</w:t>
      </w:r>
      <w:proofErr w:type="spellEnd"/>
      <w:r w:rsidRPr="00CB39B0">
        <w:rPr>
          <w:rFonts w:ascii="Verdana" w:hAnsi="Verdana"/>
          <w:sz w:val="20"/>
          <w:szCs w:val="20"/>
          <w:lang w:val="en-US"/>
        </w:rPr>
        <w:t xml:space="preserve"> A. Adherence to Mediterranean diet and health status: meta-analysis. </w:t>
      </w:r>
      <w:proofErr w:type="gramStart"/>
      <w:r w:rsidRPr="00CB39B0">
        <w:rPr>
          <w:rFonts w:ascii="Verdana" w:hAnsi="Verdana"/>
          <w:sz w:val="20"/>
          <w:szCs w:val="20"/>
          <w:lang w:val="en-US"/>
        </w:rPr>
        <w:t>BMJ.</w:t>
      </w:r>
      <w:proofErr w:type="gramEnd"/>
      <w:r w:rsidRPr="00CB39B0">
        <w:rPr>
          <w:rFonts w:ascii="Verdana" w:hAnsi="Verdana"/>
          <w:sz w:val="20"/>
          <w:szCs w:val="20"/>
          <w:lang w:val="en-US"/>
        </w:rPr>
        <w:t xml:space="preserve"> 2008</w:t>
      </w:r>
      <w:proofErr w:type="gramStart"/>
      <w:r w:rsidRPr="00CB39B0">
        <w:rPr>
          <w:rFonts w:ascii="Verdana" w:hAnsi="Verdana"/>
          <w:sz w:val="20"/>
          <w:szCs w:val="20"/>
          <w:lang w:val="en-US"/>
        </w:rPr>
        <w:t>;11:337</w:t>
      </w:r>
      <w:proofErr w:type="gramEnd"/>
      <w:r w:rsidRPr="00CB39B0">
        <w:rPr>
          <w:rFonts w:ascii="Verdana" w:hAnsi="Verdana"/>
          <w:sz w:val="20"/>
          <w:szCs w:val="20"/>
          <w:lang w:val="en-US"/>
        </w:rPr>
        <w:t>-44.         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Pr="00CB39B0" w:rsidRDefault="00CB39B0" w:rsidP="00CB39B0">
      <w:pPr>
        <w:pStyle w:val="NormalWeb"/>
        <w:rPr>
          <w:lang w:val="en-US"/>
        </w:rPr>
      </w:pPr>
      <w:r w:rsidRPr="00CB39B0">
        <w:rPr>
          <w:rFonts w:ascii="Verdana" w:hAnsi="Verdana"/>
          <w:sz w:val="20"/>
          <w:szCs w:val="20"/>
          <w:lang w:val="en-US"/>
        </w:rPr>
        <w:t>40. Buckland G, Bach A, Serra-</w:t>
      </w:r>
      <w:proofErr w:type="spellStart"/>
      <w:r w:rsidRPr="00CB39B0">
        <w:rPr>
          <w:rFonts w:ascii="Verdana" w:hAnsi="Verdana"/>
          <w:sz w:val="20"/>
          <w:szCs w:val="20"/>
          <w:lang w:val="en-US"/>
        </w:rPr>
        <w:t>Majem</w:t>
      </w:r>
      <w:proofErr w:type="spellEnd"/>
      <w:r w:rsidRPr="00CB39B0">
        <w:rPr>
          <w:rFonts w:ascii="Verdana" w:hAnsi="Verdana"/>
          <w:sz w:val="20"/>
          <w:szCs w:val="20"/>
          <w:lang w:val="en-US"/>
        </w:rPr>
        <w:t xml:space="preserve"> L. Obesity and the Mediterranean diet: a systematic review of observational and intervention studies. </w:t>
      </w:r>
      <w:proofErr w:type="spellStart"/>
      <w:r w:rsidRPr="00CB39B0">
        <w:rPr>
          <w:rFonts w:ascii="Verdana" w:hAnsi="Verdana"/>
          <w:sz w:val="20"/>
          <w:szCs w:val="20"/>
          <w:lang w:val="en-US"/>
        </w:rPr>
        <w:t>Obes</w:t>
      </w:r>
      <w:proofErr w:type="spellEnd"/>
      <w:r w:rsidRPr="00CB39B0">
        <w:rPr>
          <w:rFonts w:ascii="Verdana" w:hAnsi="Verdana"/>
          <w:sz w:val="20"/>
          <w:szCs w:val="20"/>
          <w:lang w:val="en-US"/>
        </w:rPr>
        <w:t xml:space="preserve"> Rev. 2008</w:t>
      </w:r>
      <w:proofErr w:type="gramStart"/>
      <w:r w:rsidRPr="00CB39B0">
        <w:rPr>
          <w:rFonts w:ascii="Verdana" w:hAnsi="Verdana"/>
          <w:sz w:val="20"/>
          <w:szCs w:val="20"/>
          <w:lang w:val="en-US"/>
        </w:rPr>
        <w:t>;9</w:t>
      </w:r>
      <w:proofErr w:type="gramEnd"/>
      <w:r w:rsidRPr="00CB39B0">
        <w:rPr>
          <w:rFonts w:ascii="Verdana" w:hAnsi="Verdana"/>
          <w:sz w:val="20"/>
          <w:szCs w:val="20"/>
          <w:lang w:val="en-US"/>
        </w:rPr>
        <w:t>(6):582-93.         </w:t>
      </w:r>
      <w:proofErr w:type="gramStart"/>
      <w:r w:rsidRPr="00CB39B0">
        <w:rPr>
          <w:rFonts w:ascii="Verdana" w:hAnsi="Verdana"/>
          <w:sz w:val="20"/>
          <w:szCs w:val="20"/>
          <w:lang w:val="en-US"/>
        </w:rPr>
        <w:t>[ </w:t>
      </w:r>
      <w:proofErr w:type="gramEnd"/>
      <w:r w:rsidR="00091405">
        <w:rPr>
          <w:rFonts w:ascii="Verdana" w:hAnsi="Verdana"/>
          <w:sz w:val="20"/>
          <w:szCs w:val="20"/>
        </w:rPr>
        <w:fldChar w:fldCharType="begin"/>
      </w:r>
      <w:r w:rsidRPr="00CB39B0">
        <w:rPr>
          <w:rFonts w:ascii="Verdana" w:hAnsi="Verdana"/>
          <w:sz w:val="20"/>
          <w:szCs w:val="20"/>
          <w:lang w:val="en-US"/>
        </w:rPr>
        <w:instrText xml:space="preserve"> HYPERLINK "javascript:void(0);" </w:instrText>
      </w:r>
      <w:r w:rsidR="00091405">
        <w:rPr>
          <w:rFonts w:ascii="Verdana" w:hAnsi="Verdana"/>
          <w:sz w:val="20"/>
          <w:szCs w:val="20"/>
        </w:rPr>
        <w:fldChar w:fldCharType="separate"/>
      </w:r>
      <w:r w:rsidRPr="00CB39B0">
        <w:rPr>
          <w:rStyle w:val="Hyperlink"/>
          <w:rFonts w:ascii="Verdana" w:hAnsi="Verdana"/>
          <w:sz w:val="20"/>
          <w:szCs w:val="20"/>
          <w:lang w:val="en-US"/>
        </w:rPr>
        <w:t>Links</w:t>
      </w:r>
      <w:r w:rsidR="00091405">
        <w:rPr>
          <w:rFonts w:ascii="Verdana" w:hAnsi="Verdana"/>
          <w:sz w:val="20"/>
          <w:szCs w:val="20"/>
        </w:rPr>
        <w:fldChar w:fldCharType="end"/>
      </w:r>
      <w:r w:rsidRPr="00CB39B0">
        <w:rPr>
          <w:rFonts w:ascii="Verdana" w:hAnsi="Verdana"/>
          <w:sz w:val="20"/>
          <w:szCs w:val="20"/>
          <w:lang w:val="en-US"/>
        </w:rPr>
        <w:t> ]</w:t>
      </w:r>
    </w:p>
    <w:p w:rsidR="00CB39B0" w:rsidRDefault="00CB39B0" w:rsidP="00CB39B0">
      <w:pPr>
        <w:pStyle w:val="NormalWeb"/>
      </w:pPr>
      <w:r w:rsidRPr="00CB39B0">
        <w:rPr>
          <w:rFonts w:ascii="Verdana" w:hAnsi="Verdana"/>
          <w:sz w:val="20"/>
          <w:szCs w:val="20"/>
          <w:lang w:val="en-US"/>
        </w:rPr>
        <w:t xml:space="preserve">41. </w:t>
      </w:r>
      <w:proofErr w:type="spellStart"/>
      <w:r w:rsidRPr="00CB39B0">
        <w:rPr>
          <w:rFonts w:ascii="Verdana" w:hAnsi="Verdana"/>
          <w:sz w:val="20"/>
          <w:szCs w:val="20"/>
          <w:lang w:val="en-US"/>
        </w:rPr>
        <w:t>Trichopoulou</w:t>
      </w:r>
      <w:proofErr w:type="spellEnd"/>
      <w:r w:rsidRPr="00CB39B0">
        <w:rPr>
          <w:rFonts w:ascii="Verdana" w:hAnsi="Verdana"/>
          <w:sz w:val="20"/>
          <w:szCs w:val="20"/>
          <w:lang w:val="en-US"/>
        </w:rPr>
        <w:t xml:space="preserve"> A, </w:t>
      </w:r>
      <w:proofErr w:type="spellStart"/>
      <w:r w:rsidRPr="00CB39B0">
        <w:rPr>
          <w:rFonts w:ascii="Verdana" w:hAnsi="Verdana"/>
          <w:sz w:val="20"/>
          <w:szCs w:val="20"/>
          <w:lang w:val="en-US"/>
        </w:rPr>
        <w:t>Costacou</w:t>
      </w:r>
      <w:proofErr w:type="spellEnd"/>
      <w:r w:rsidRPr="00CB39B0">
        <w:rPr>
          <w:rFonts w:ascii="Verdana" w:hAnsi="Verdana"/>
          <w:sz w:val="20"/>
          <w:szCs w:val="20"/>
          <w:lang w:val="en-US"/>
        </w:rPr>
        <w:t xml:space="preserve"> T, </w:t>
      </w:r>
      <w:proofErr w:type="spellStart"/>
      <w:r w:rsidRPr="00CB39B0">
        <w:rPr>
          <w:rFonts w:ascii="Verdana" w:hAnsi="Verdana"/>
          <w:sz w:val="20"/>
          <w:szCs w:val="20"/>
          <w:lang w:val="en-US"/>
        </w:rPr>
        <w:t>Bamia</w:t>
      </w:r>
      <w:proofErr w:type="spellEnd"/>
      <w:r w:rsidRPr="00CB39B0">
        <w:rPr>
          <w:rFonts w:ascii="Verdana" w:hAnsi="Verdana"/>
          <w:sz w:val="20"/>
          <w:szCs w:val="20"/>
          <w:lang w:val="en-US"/>
        </w:rPr>
        <w:t xml:space="preserve"> C, </w:t>
      </w:r>
      <w:proofErr w:type="spellStart"/>
      <w:r w:rsidRPr="00CB39B0">
        <w:rPr>
          <w:rFonts w:ascii="Verdana" w:hAnsi="Verdana"/>
          <w:sz w:val="20"/>
          <w:szCs w:val="20"/>
          <w:lang w:val="en-US"/>
        </w:rPr>
        <w:t>Trichopoulos</w:t>
      </w:r>
      <w:proofErr w:type="spellEnd"/>
      <w:r w:rsidRPr="00CB39B0">
        <w:rPr>
          <w:rFonts w:ascii="Verdana" w:hAnsi="Verdana"/>
          <w:sz w:val="20"/>
          <w:szCs w:val="20"/>
          <w:lang w:val="en-US"/>
        </w:rPr>
        <w:t xml:space="preserve"> D. Adherence to a Mediterranean diet and survival in a </w:t>
      </w:r>
      <w:proofErr w:type="spellStart"/>
      <w:r w:rsidRPr="00CB39B0">
        <w:rPr>
          <w:rFonts w:ascii="Verdana" w:hAnsi="Verdana"/>
          <w:sz w:val="20"/>
          <w:szCs w:val="20"/>
          <w:lang w:val="en-US"/>
        </w:rPr>
        <w:t>greek</w:t>
      </w:r>
      <w:proofErr w:type="spellEnd"/>
      <w:r w:rsidRPr="00CB39B0">
        <w:rPr>
          <w:rFonts w:ascii="Verdana" w:hAnsi="Verdana"/>
          <w:sz w:val="20"/>
          <w:szCs w:val="20"/>
          <w:lang w:val="en-US"/>
        </w:rPr>
        <w:t xml:space="preserve"> population. </w:t>
      </w:r>
      <w:r>
        <w:rPr>
          <w:rFonts w:ascii="Verdana" w:hAnsi="Verdana"/>
          <w:sz w:val="20"/>
          <w:szCs w:val="20"/>
        </w:rPr>
        <w:t xml:space="preserve">N </w:t>
      </w:r>
      <w:proofErr w:type="spellStart"/>
      <w:r>
        <w:rPr>
          <w:rFonts w:ascii="Verdana" w:hAnsi="Verdana"/>
          <w:sz w:val="20"/>
          <w:szCs w:val="20"/>
        </w:rPr>
        <w:t>Engl</w:t>
      </w:r>
      <w:proofErr w:type="spellEnd"/>
      <w:r>
        <w:rPr>
          <w:rFonts w:ascii="Verdana" w:hAnsi="Verdana"/>
          <w:sz w:val="20"/>
          <w:szCs w:val="20"/>
        </w:rPr>
        <w:t xml:space="preserve"> J Med. </w:t>
      </w:r>
      <w:proofErr w:type="gramStart"/>
      <w:r>
        <w:rPr>
          <w:rFonts w:ascii="Verdana" w:hAnsi="Verdana"/>
          <w:sz w:val="20"/>
          <w:szCs w:val="20"/>
        </w:rPr>
        <w:t>2003;</w:t>
      </w:r>
      <w:proofErr w:type="gramEnd"/>
      <w:r>
        <w:rPr>
          <w:rFonts w:ascii="Verdana" w:hAnsi="Verdana"/>
          <w:sz w:val="20"/>
          <w:szCs w:val="20"/>
        </w:rPr>
        <w:t>348(26):2599-608.         </w:t>
      </w:r>
      <w:proofErr w:type="gramStart"/>
      <w:r>
        <w:rPr>
          <w:rFonts w:ascii="Verdana" w:hAnsi="Verdana"/>
          <w:sz w:val="20"/>
          <w:szCs w:val="20"/>
        </w:rPr>
        <w:t>[ </w:t>
      </w:r>
      <w:proofErr w:type="gramEnd"/>
      <w:hyperlink r:id="rId24" w:history="1">
        <w:r>
          <w:rPr>
            <w:rStyle w:val="Hyperlink"/>
            <w:rFonts w:ascii="Verdana" w:hAnsi="Verdana"/>
            <w:sz w:val="20"/>
            <w:szCs w:val="20"/>
          </w:rPr>
          <w:t>Links</w:t>
        </w:r>
      </w:hyperlink>
      <w:r>
        <w:rPr>
          <w:rFonts w:ascii="Verdana" w:hAnsi="Verdana"/>
          <w:sz w:val="20"/>
          <w:szCs w:val="20"/>
        </w:rPr>
        <w:t> ]</w:t>
      </w:r>
    </w:p>
    <w:p w:rsidR="00CB39B0" w:rsidRDefault="00CB39B0" w:rsidP="00CB39B0">
      <w:pPr>
        <w:pStyle w:val="NormalWeb"/>
      </w:pPr>
    </w:p>
    <w:p w:rsidR="002F334B" w:rsidRDefault="00CB39B0" w:rsidP="00CB39B0">
      <w:pPr>
        <w:pStyle w:val="NormalWeb"/>
        <w:rPr>
          <w:color w:val="00B0F0"/>
        </w:rPr>
      </w:pPr>
      <w:r>
        <w:rPr>
          <w:color w:val="00B0F0"/>
        </w:rPr>
        <w:t>Artigo (1)</w:t>
      </w:r>
    </w:p>
    <w:p w:rsidR="00CB39B0" w:rsidRDefault="00CB39B0" w:rsidP="00CB39B0">
      <w:pPr>
        <w:pStyle w:val="NormalWeb"/>
        <w:rPr>
          <w:color w:val="00B0F0"/>
        </w:rPr>
      </w:pPr>
      <w:r>
        <w:rPr>
          <w:color w:val="00B0F0"/>
        </w:rPr>
        <w:t xml:space="preserve">Tabela (1) </w:t>
      </w:r>
      <w:r w:rsidRPr="00CB39B0">
        <w:rPr>
          <w:color w:val="00B0F0"/>
        </w:rPr>
        <w:t>http://www.scielo.br/img/revistas/abem/v53n5/20t01.gif</w:t>
      </w:r>
    </w:p>
    <w:p w:rsidR="00CB39B0" w:rsidRDefault="00CB39B0">
      <w:pPr>
        <w:rPr>
          <w:color w:val="00B0F0"/>
        </w:rPr>
      </w:pPr>
      <w:r>
        <w:rPr>
          <w:noProof/>
          <w:color w:val="00B0F0"/>
          <w:lang w:eastAsia="pt-BR"/>
        </w:rPr>
        <w:drawing>
          <wp:inline distT="0" distB="0" distL="0" distR="0">
            <wp:extent cx="6642100" cy="2475865"/>
            <wp:effectExtent l="19050" t="0" r="635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642100" cy="2475865"/>
                    </a:xfrm>
                    <a:prstGeom prst="rect">
                      <a:avLst/>
                    </a:prstGeom>
                    <a:noFill/>
                    <a:ln w="9525">
                      <a:noFill/>
                      <a:miter lim="800000"/>
                      <a:headEnd/>
                      <a:tailEnd/>
                    </a:ln>
                  </pic:spPr>
                </pic:pic>
              </a:graphicData>
            </a:graphic>
          </wp:inline>
        </w:drawing>
      </w:r>
    </w:p>
    <w:p w:rsidR="00CB39B0" w:rsidRDefault="00CB39B0">
      <w:pPr>
        <w:rPr>
          <w:color w:val="00B0F0"/>
        </w:rPr>
      </w:pPr>
      <w:r>
        <w:rPr>
          <w:color w:val="00B0F0"/>
        </w:rPr>
        <w:t xml:space="preserve">Tabela (2) </w:t>
      </w:r>
      <w:hyperlink r:id="rId26" w:history="1">
        <w:r w:rsidRPr="00246852">
          <w:rPr>
            <w:rStyle w:val="Hyperlink"/>
          </w:rPr>
          <w:t>http://www.scielo.br/img/revistas/abem/v53n5/20t02.gif</w:t>
        </w:r>
      </w:hyperlink>
    </w:p>
    <w:p w:rsidR="004B0625" w:rsidRDefault="00CB39B0">
      <w:pPr>
        <w:rPr>
          <w:color w:val="00B0F0"/>
        </w:rPr>
      </w:pPr>
      <w:r>
        <w:rPr>
          <w:noProof/>
          <w:color w:val="00B0F0"/>
          <w:lang w:eastAsia="pt-BR"/>
        </w:rPr>
        <w:lastRenderedPageBreak/>
        <w:drawing>
          <wp:inline distT="0" distB="0" distL="0" distR="0">
            <wp:extent cx="6297295" cy="2026920"/>
            <wp:effectExtent l="1905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6297295" cy="2026920"/>
                    </a:xfrm>
                    <a:prstGeom prst="rect">
                      <a:avLst/>
                    </a:prstGeom>
                    <a:noFill/>
                    <a:ln w="9525">
                      <a:noFill/>
                      <a:miter lim="800000"/>
                      <a:headEnd/>
                      <a:tailEnd/>
                    </a:ln>
                  </pic:spPr>
                </pic:pic>
              </a:graphicData>
            </a:graphic>
          </wp:inline>
        </w:drawing>
      </w:r>
      <w:r w:rsidR="004B0625">
        <w:rPr>
          <w:noProof/>
          <w:color w:val="00B0F0"/>
          <w:lang w:eastAsia="pt-BR"/>
        </w:rPr>
        <w:drawing>
          <wp:inline distT="0" distB="0" distL="0" distR="0">
            <wp:extent cx="6280150" cy="3700780"/>
            <wp:effectExtent l="1905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6280150" cy="3700780"/>
                    </a:xfrm>
                    <a:prstGeom prst="rect">
                      <a:avLst/>
                    </a:prstGeom>
                    <a:noFill/>
                    <a:ln w="9525">
                      <a:noFill/>
                      <a:miter lim="800000"/>
                      <a:headEnd/>
                      <a:tailEnd/>
                    </a:ln>
                  </pic:spPr>
                </pic:pic>
              </a:graphicData>
            </a:graphic>
          </wp:inline>
        </w:drawing>
      </w:r>
    </w:p>
    <w:p w:rsidR="004B0625" w:rsidRDefault="004B0625">
      <w:pPr>
        <w:rPr>
          <w:color w:val="00B0F0"/>
        </w:rPr>
      </w:pPr>
      <w:r>
        <w:rPr>
          <w:color w:val="00B0F0"/>
        </w:rPr>
        <w:t xml:space="preserve">Tabela 3 </w:t>
      </w:r>
      <w:hyperlink r:id="rId29" w:history="1">
        <w:r w:rsidRPr="00246852">
          <w:rPr>
            <w:rStyle w:val="Hyperlink"/>
          </w:rPr>
          <w:t>http://www.scielo.br/img/revistas/abem/v53n5/20t03.gif</w:t>
        </w:r>
      </w:hyperlink>
      <w:r>
        <w:rPr>
          <w:color w:val="00B0F0"/>
        </w:rPr>
        <w:t xml:space="preserve"> (explorar este formato no (Coronel)</w:t>
      </w:r>
    </w:p>
    <w:p w:rsidR="004B0625" w:rsidRDefault="004B0625">
      <w:pPr>
        <w:rPr>
          <w:color w:val="00B0F0"/>
        </w:rPr>
      </w:pPr>
      <w:r>
        <w:rPr>
          <w:noProof/>
          <w:color w:val="00B0F0"/>
          <w:lang w:eastAsia="pt-BR"/>
        </w:rPr>
        <w:drawing>
          <wp:inline distT="0" distB="0" distL="0" distR="0">
            <wp:extent cx="6642100" cy="3114040"/>
            <wp:effectExtent l="1905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6642100" cy="3114040"/>
                    </a:xfrm>
                    <a:prstGeom prst="rect">
                      <a:avLst/>
                    </a:prstGeom>
                    <a:noFill/>
                    <a:ln w="9525">
                      <a:noFill/>
                      <a:miter lim="800000"/>
                      <a:headEnd/>
                      <a:tailEnd/>
                    </a:ln>
                  </pic:spPr>
                </pic:pic>
              </a:graphicData>
            </a:graphic>
          </wp:inline>
        </w:drawing>
      </w:r>
    </w:p>
    <w:p w:rsidR="004B0625" w:rsidRDefault="004B0625">
      <w:pPr>
        <w:rPr>
          <w:color w:val="00B0F0"/>
        </w:rPr>
      </w:pPr>
      <w:r>
        <w:rPr>
          <w:color w:val="00B0F0"/>
        </w:rPr>
        <w:t>Tabela 4</w:t>
      </w:r>
    </w:p>
    <w:p w:rsidR="00A90B0B" w:rsidRDefault="004B0625">
      <w:pPr>
        <w:rPr>
          <w:color w:val="00B0F0"/>
        </w:rPr>
      </w:pPr>
      <w:r>
        <w:rPr>
          <w:noProof/>
          <w:color w:val="00B0F0"/>
          <w:lang w:eastAsia="pt-BR"/>
        </w:rPr>
        <w:lastRenderedPageBreak/>
        <w:drawing>
          <wp:inline distT="0" distB="0" distL="0" distR="0">
            <wp:extent cx="6642100" cy="4382135"/>
            <wp:effectExtent l="1905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6642100" cy="4382135"/>
                    </a:xfrm>
                    <a:prstGeom prst="rect">
                      <a:avLst/>
                    </a:prstGeom>
                    <a:noFill/>
                    <a:ln w="9525">
                      <a:noFill/>
                      <a:miter lim="800000"/>
                      <a:headEnd/>
                      <a:tailEnd/>
                    </a:ln>
                  </pic:spPr>
                </pic:pic>
              </a:graphicData>
            </a:graphic>
          </wp:inline>
        </w:drawing>
      </w:r>
      <w:r>
        <w:rPr>
          <w:noProof/>
          <w:color w:val="00B0F0"/>
          <w:lang w:eastAsia="pt-BR"/>
        </w:rPr>
        <w:drawing>
          <wp:inline distT="0" distB="0" distL="0" distR="0">
            <wp:extent cx="6642100" cy="2596515"/>
            <wp:effectExtent l="1905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6642100" cy="2596515"/>
                    </a:xfrm>
                    <a:prstGeom prst="rect">
                      <a:avLst/>
                    </a:prstGeom>
                    <a:noFill/>
                    <a:ln w="9525">
                      <a:noFill/>
                      <a:miter lim="800000"/>
                      <a:headEnd/>
                      <a:tailEnd/>
                    </a:ln>
                  </pic:spPr>
                </pic:pic>
              </a:graphicData>
            </a:graphic>
          </wp:inline>
        </w:drawing>
      </w:r>
      <w:r>
        <w:rPr>
          <w:noProof/>
          <w:color w:val="00B0F0"/>
          <w:lang w:eastAsia="pt-BR"/>
        </w:rPr>
        <w:lastRenderedPageBreak/>
        <w:drawing>
          <wp:inline distT="0" distB="0" distL="0" distR="0">
            <wp:extent cx="6642100" cy="4270375"/>
            <wp:effectExtent l="19050" t="0" r="635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6642100" cy="4270375"/>
                    </a:xfrm>
                    <a:prstGeom prst="rect">
                      <a:avLst/>
                    </a:prstGeom>
                    <a:noFill/>
                    <a:ln w="9525">
                      <a:noFill/>
                      <a:miter lim="800000"/>
                      <a:headEnd/>
                      <a:tailEnd/>
                    </a:ln>
                  </pic:spPr>
                </pic:pic>
              </a:graphicData>
            </a:graphic>
          </wp:inline>
        </w:drawing>
      </w:r>
      <w:r>
        <w:rPr>
          <w:noProof/>
          <w:color w:val="00B0F0"/>
          <w:lang w:eastAsia="pt-BR"/>
        </w:rPr>
        <w:drawing>
          <wp:inline distT="0" distB="0" distL="0" distR="0">
            <wp:extent cx="6642100" cy="3502025"/>
            <wp:effectExtent l="1905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6642100" cy="3502025"/>
                    </a:xfrm>
                    <a:prstGeom prst="rect">
                      <a:avLst/>
                    </a:prstGeom>
                    <a:noFill/>
                    <a:ln w="9525">
                      <a:noFill/>
                      <a:miter lim="800000"/>
                      <a:headEnd/>
                      <a:tailEnd/>
                    </a:ln>
                  </pic:spPr>
                </pic:pic>
              </a:graphicData>
            </a:graphic>
          </wp:inline>
        </w:drawing>
      </w:r>
      <w:r w:rsidR="00A90B0B">
        <w:rPr>
          <w:noProof/>
          <w:color w:val="00B0F0"/>
          <w:lang w:eastAsia="pt-BR"/>
        </w:rPr>
        <w:lastRenderedPageBreak/>
        <w:drawing>
          <wp:inline distT="0" distB="0" distL="0" distR="0">
            <wp:extent cx="6642100" cy="3787140"/>
            <wp:effectExtent l="19050" t="0" r="635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6642100" cy="3787140"/>
                    </a:xfrm>
                    <a:prstGeom prst="rect">
                      <a:avLst/>
                    </a:prstGeom>
                    <a:noFill/>
                    <a:ln w="9525">
                      <a:noFill/>
                      <a:miter lim="800000"/>
                      <a:headEnd/>
                      <a:tailEnd/>
                    </a:ln>
                  </pic:spPr>
                </pic:pic>
              </a:graphicData>
            </a:graphic>
          </wp:inline>
        </w:drawing>
      </w:r>
      <w:r w:rsidR="00A90B0B">
        <w:rPr>
          <w:noProof/>
          <w:color w:val="00B0F0"/>
          <w:lang w:eastAsia="pt-BR"/>
        </w:rPr>
        <w:drawing>
          <wp:inline distT="0" distB="0" distL="0" distR="0">
            <wp:extent cx="6642100" cy="3890645"/>
            <wp:effectExtent l="1905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6642100" cy="3890645"/>
                    </a:xfrm>
                    <a:prstGeom prst="rect">
                      <a:avLst/>
                    </a:prstGeom>
                    <a:noFill/>
                    <a:ln w="9525">
                      <a:noFill/>
                      <a:miter lim="800000"/>
                      <a:headEnd/>
                      <a:tailEnd/>
                    </a:ln>
                  </pic:spPr>
                </pic:pic>
              </a:graphicData>
            </a:graphic>
          </wp:inline>
        </w:drawing>
      </w:r>
      <w:r w:rsidR="00A90B0B">
        <w:rPr>
          <w:noProof/>
          <w:color w:val="00B0F0"/>
          <w:lang w:eastAsia="pt-BR"/>
        </w:rPr>
        <w:lastRenderedPageBreak/>
        <w:drawing>
          <wp:inline distT="0" distB="0" distL="0" distR="0">
            <wp:extent cx="6642100" cy="3114040"/>
            <wp:effectExtent l="1905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6642100" cy="3114040"/>
                    </a:xfrm>
                    <a:prstGeom prst="rect">
                      <a:avLst/>
                    </a:prstGeom>
                    <a:noFill/>
                    <a:ln w="9525">
                      <a:noFill/>
                      <a:miter lim="800000"/>
                      <a:headEnd/>
                      <a:tailEnd/>
                    </a:ln>
                  </pic:spPr>
                </pic:pic>
              </a:graphicData>
            </a:graphic>
          </wp:inline>
        </w:drawing>
      </w:r>
      <w:r w:rsidR="00A90B0B">
        <w:rPr>
          <w:noProof/>
          <w:color w:val="00B0F0"/>
          <w:lang w:eastAsia="pt-BR"/>
        </w:rPr>
        <w:drawing>
          <wp:inline distT="0" distB="0" distL="0" distR="0">
            <wp:extent cx="6642100" cy="3985260"/>
            <wp:effectExtent l="19050" t="0" r="635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6642100" cy="3985260"/>
                    </a:xfrm>
                    <a:prstGeom prst="rect">
                      <a:avLst/>
                    </a:prstGeom>
                    <a:noFill/>
                    <a:ln w="9525">
                      <a:noFill/>
                      <a:miter lim="800000"/>
                      <a:headEnd/>
                      <a:tailEnd/>
                    </a:ln>
                  </pic:spPr>
                </pic:pic>
              </a:graphicData>
            </a:graphic>
          </wp:inline>
        </w:drawing>
      </w:r>
      <w:r w:rsidR="00A90B0B">
        <w:rPr>
          <w:noProof/>
          <w:color w:val="00B0F0"/>
          <w:lang w:eastAsia="pt-BR"/>
        </w:rPr>
        <w:lastRenderedPageBreak/>
        <w:drawing>
          <wp:inline distT="0" distB="0" distL="0" distR="0">
            <wp:extent cx="6642100" cy="2898775"/>
            <wp:effectExtent l="19050" t="0" r="635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6642100" cy="2898775"/>
                    </a:xfrm>
                    <a:prstGeom prst="rect">
                      <a:avLst/>
                    </a:prstGeom>
                    <a:noFill/>
                    <a:ln w="9525">
                      <a:noFill/>
                      <a:miter lim="800000"/>
                      <a:headEnd/>
                      <a:tailEnd/>
                    </a:ln>
                  </pic:spPr>
                </pic:pic>
              </a:graphicData>
            </a:graphic>
          </wp:inline>
        </w:drawing>
      </w:r>
      <w:r w:rsidR="00A90B0B">
        <w:rPr>
          <w:noProof/>
          <w:color w:val="00B0F0"/>
          <w:lang w:eastAsia="pt-BR"/>
        </w:rPr>
        <w:drawing>
          <wp:inline distT="0" distB="0" distL="0" distR="0">
            <wp:extent cx="6642100" cy="4011295"/>
            <wp:effectExtent l="19050" t="0" r="635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6642100" cy="4011295"/>
                    </a:xfrm>
                    <a:prstGeom prst="rect">
                      <a:avLst/>
                    </a:prstGeom>
                    <a:noFill/>
                    <a:ln w="9525">
                      <a:noFill/>
                      <a:miter lim="800000"/>
                      <a:headEnd/>
                      <a:tailEnd/>
                    </a:ln>
                  </pic:spPr>
                </pic:pic>
              </a:graphicData>
            </a:graphic>
          </wp:inline>
        </w:drawing>
      </w:r>
      <w:r w:rsidR="00A90B0B">
        <w:rPr>
          <w:noProof/>
          <w:color w:val="00B0F0"/>
          <w:lang w:eastAsia="pt-BR"/>
        </w:rPr>
        <w:lastRenderedPageBreak/>
        <w:drawing>
          <wp:inline distT="0" distB="0" distL="0" distR="0">
            <wp:extent cx="6642100" cy="4123690"/>
            <wp:effectExtent l="19050" t="0" r="635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6642100" cy="4123690"/>
                    </a:xfrm>
                    <a:prstGeom prst="rect">
                      <a:avLst/>
                    </a:prstGeom>
                    <a:noFill/>
                    <a:ln w="9525">
                      <a:noFill/>
                      <a:miter lim="800000"/>
                      <a:headEnd/>
                      <a:tailEnd/>
                    </a:ln>
                  </pic:spPr>
                </pic:pic>
              </a:graphicData>
            </a:graphic>
          </wp:inline>
        </w:drawing>
      </w:r>
      <w:r w:rsidR="00A90B0B">
        <w:rPr>
          <w:noProof/>
          <w:color w:val="00B0F0"/>
          <w:lang w:eastAsia="pt-BR"/>
        </w:rPr>
        <w:drawing>
          <wp:inline distT="0" distB="0" distL="0" distR="0">
            <wp:extent cx="6642100" cy="457200"/>
            <wp:effectExtent l="19050" t="0" r="635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6642100" cy="457200"/>
                    </a:xfrm>
                    <a:prstGeom prst="rect">
                      <a:avLst/>
                    </a:prstGeom>
                    <a:noFill/>
                    <a:ln w="9525">
                      <a:noFill/>
                      <a:miter lim="800000"/>
                      <a:headEnd/>
                      <a:tailEnd/>
                    </a:ln>
                  </pic:spPr>
                </pic:pic>
              </a:graphicData>
            </a:graphic>
          </wp:inline>
        </w:drawing>
      </w:r>
    </w:p>
    <w:p w:rsidR="00A90B0B" w:rsidRDefault="00E2232E">
      <w:pPr>
        <w:rPr>
          <w:color w:val="00B0F0"/>
        </w:rPr>
      </w:pPr>
      <w:r>
        <w:rPr>
          <w:color w:val="00B0F0"/>
        </w:rPr>
        <w:t xml:space="preserve"> Tabela 5</w:t>
      </w:r>
    </w:p>
    <w:p w:rsidR="00E2232E" w:rsidRDefault="00E2232E">
      <w:pPr>
        <w:rPr>
          <w:color w:val="00B0F0"/>
        </w:rPr>
      </w:pPr>
      <w:r>
        <w:rPr>
          <w:noProof/>
          <w:color w:val="00B0F0"/>
          <w:lang w:eastAsia="pt-BR"/>
        </w:rPr>
        <w:drawing>
          <wp:inline distT="0" distB="0" distL="0" distR="0">
            <wp:extent cx="6642100" cy="2959100"/>
            <wp:effectExtent l="1905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6642100" cy="2959100"/>
                    </a:xfrm>
                    <a:prstGeom prst="rect">
                      <a:avLst/>
                    </a:prstGeom>
                    <a:noFill/>
                    <a:ln w="9525">
                      <a:noFill/>
                      <a:miter lim="800000"/>
                      <a:headEnd/>
                      <a:tailEnd/>
                    </a:ln>
                  </pic:spPr>
                </pic:pic>
              </a:graphicData>
            </a:graphic>
          </wp:inline>
        </w:drawing>
      </w:r>
    </w:p>
    <w:p w:rsidR="00E2232E" w:rsidRDefault="00E2232E">
      <w:pPr>
        <w:rPr>
          <w:color w:val="00B0F0"/>
        </w:rPr>
      </w:pPr>
    </w:p>
    <w:p w:rsidR="004B0625" w:rsidRDefault="004B0625">
      <w:pPr>
        <w:rPr>
          <w:color w:val="00B0F0"/>
        </w:rPr>
      </w:pPr>
    </w:p>
    <w:p w:rsidR="00CB39B0" w:rsidRPr="002F334B" w:rsidRDefault="00CB39B0">
      <w:pPr>
        <w:rPr>
          <w:color w:val="00B0F0"/>
        </w:rPr>
      </w:pPr>
    </w:p>
    <w:sectPr w:rsidR="00CB39B0" w:rsidRPr="002F334B" w:rsidSect="002E572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2E572F"/>
    <w:rsid w:val="00091405"/>
    <w:rsid w:val="002E572F"/>
    <w:rsid w:val="002F334B"/>
    <w:rsid w:val="004B0625"/>
    <w:rsid w:val="006C4769"/>
    <w:rsid w:val="009F73AE"/>
    <w:rsid w:val="00A90B0B"/>
    <w:rsid w:val="00B0107B"/>
    <w:rsid w:val="00B851C1"/>
    <w:rsid w:val="00BD7155"/>
    <w:rsid w:val="00CB39B0"/>
    <w:rsid w:val="00E07ACC"/>
    <w:rsid w:val="00E2232E"/>
    <w:rsid w:val="00E3058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72F"/>
  </w:style>
  <w:style w:type="paragraph" w:styleId="Ttulo1">
    <w:name w:val="heading 1"/>
    <w:basedOn w:val="Normal"/>
    <w:link w:val="Ttulo1Char"/>
    <w:uiPriority w:val="9"/>
    <w:qFormat/>
    <w:rsid w:val="002F33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CB39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2F334B"/>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semiHidden/>
    <w:unhideWhenUsed/>
    <w:qFormat/>
    <w:rsid w:val="00CB39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2E572F"/>
    <w:rPr>
      <w:color w:val="0000FF" w:themeColor="hyperlink"/>
      <w:u w:val="single"/>
    </w:rPr>
  </w:style>
  <w:style w:type="paragraph" w:styleId="NormalWeb">
    <w:name w:val="Normal (Web)"/>
    <w:basedOn w:val="Normal"/>
    <w:uiPriority w:val="99"/>
    <w:unhideWhenUsed/>
    <w:rsid w:val="002E572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E572F"/>
    <w:rPr>
      <w:b/>
      <w:bCs/>
    </w:rPr>
  </w:style>
  <w:style w:type="character" w:styleId="nfase">
    <w:name w:val="Emphasis"/>
    <w:basedOn w:val="Fontepargpadro"/>
    <w:uiPriority w:val="20"/>
    <w:qFormat/>
    <w:rsid w:val="002E572F"/>
    <w:rPr>
      <w:i/>
      <w:iCs/>
    </w:rPr>
  </w:style>
  <w:style w:type="paragraph" w:styleId="Textodebalo">
    <w:name w:val="Balloon Text"/>
    <w:basedOn w:val="Normal"/>
    <w:link w:val="TextodebaloChar"/>
    <w:uiPriority w:val="99"/>
    <w:semiHidden/>
    <w:unhideWhenUsed/>
    <w:rsid w:val="002E572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E572F"/>
    <w:rPr>
      <w:rFonts w:ascii="Tahoma" w:hAnsi="Tahoma" w:cs="Tahoma"/>
      <w:sz w:val="16"/>
      <w:szCs w:val="16"/>
    </w:rPr>
  </w:style>
  <w:style w:type="character" w:customStyle="1" w:styleId="Ttulo1Char">
    <w:name w:val="Título 1 Char"/>
    <w:basedOn w:val="Fontepargpadro"/>
    <w:link w:val="Ttulo1"/>
    <w:uiPriority w:val="9"/>
    <w:rsid w:val="002F334B"/>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2F334B"/>
    <w:rPr>
      <w:rFonts w:ascii="Times New Roman" w:eastAsia="Times New Roman" w:hAnsi="Times New Roman" w:cs="Times New Roman"/>
      <w:b/>
      <w:bCs/>
      <w:sz w:val="27"/>
      <w:szCs w:val="27"/>
      <w:lang w:eastAsia="pt-BR"/>
    </w:rPr>
  </w:style>
  <w:style w:type="paragraph" w:customStyle="1" w:styleId="articletype">
    <w:name w:val="articletype"/>
    <w:basedOn w:val="Normal"/>
    <w:rsid w:val="002F33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uthors">
    <w:name w:val="authors"/>
    <w:basedOn w:val="Normal"/>
    <w:rsid w:val="002F33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itationline">
    <w:name w:val="citationline"/>
    <w:basedOn w:val="Normal"/>
    <w:rsid w:val="002F334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itation">
    <w:name w:val="citation"/>
    <w:basedOn w:val="Fontepargpadro"/>
    <w:rsid w:val="002F334B"/>
  </w:style>
  <w:style w:type="character" w:customStyle="1" w:styleId="doi">
    <w:name w:val="doi"/>
    <w:basedOn w:val="Fontepargpadro"/>
    <w:rsid w:val="002F334B"/>
  </w:style>
  <w:style w:type="character" w:customStyle="1" w:styleId="label">
    <w:name w:val="label"/>
    <w:basedOn w:val="Fontepargpadro"/>
    <w:rsid w:val="002F334B"/>
  </w:style>
  <w:style w:type="character" w:customStyle="1" w:styleId="Ttulo2Char">
    <w:name w:val="Título 2 Char"/>
    <w:basedOn w:val="Fontepargpadro"/>
    <w:link w:val="Ttulo2"/>
    <w:uiPriority w:val="9"/>
    <w:semiHidden/>
    <w:rsid w:val="00CB39B0"/>
    <w:rPr>
      <w:rFonts w:asciiTheme="majorHAnsi" w:eastAsiaTheme="majorEastAsia" w:hAnsiTheme="majorHAnsi" w:cstheme="majorBidi"/>
      <w:b/>
      <w:bCs/>
      <w:color w:val="4F81BD" w:themeColor="accent1"/>
      <w:sz w:val="26"/>
      <w:szCs w:val="26"/>
    </w:rPr>
  </w:style>
  <w:style w:type="character" w:customStyle="1" w:styleId="Ttulo4Char">
    <w:name w:val="Título 4 Char"/>
    <w:basedOn w:val="Fontepargpadro"/>
    <w:link w:val="Ttulo4"/>
    <w:uiPriority w:val="9"/>
    <w:semiHidden/>
    <w:rsid w:val="00CB39B0"/>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36000548">
      <w:bodyDiv w:val="1"/>
      <w:marLeft w:val="0"/>
      <w:marRight w:val="0"/>
      <w:marTop w:val="0"/>
      <w:marBottom w:val="0"/>
      <w:divBdr>
        <w:top w:val="none" w:sz="0" w:space="0" w:color="auto"/>
        <w:left w:val="none" w:sz="0" w:space="0" w:color="auto"/>
        <w:bottom w:val="none" w:sz="0" w:space="0" w:color="auto"/>
        <w:right w:val="none" w:sz="0" w:space="0" w:color="auto"/>
      </w:divBdr>
      <w:divsChild>
        <w:div w:id="1391921723">
          <w:marLeft w:val="0"/>
          <w:marRight w:val="0"/>
          <w:marTop w:val="0"/>
          <w:marBottom w:val="0"/>
          <w:divBdr>
            <w:top w:val="none" w:sz="0" w:space="0" w:color="auto"/>
            <w:left w:val="none" w:sz="0" w:space="0" w:color="auto"/>
            <w:bottom w:val="none" w:sz="0" w:space="0" w:color="auto"/>
            <w:right w:val="none" w:sz="0" w:space="0" w:color="auto"/>
          </w:divBdr>
        </w:div>
      </w:divsChild>
    </w:div>
    <w:div w:id="757410468">
      <w:bodyDiv w:val="1"/>
      <w:marLeft w:val="0"/>
      <w:marRight w:val="0"/>
      <w:marTop w:val="0"/>
      <w:marBottom w:val="0"/>
      <w:divBdr>
        <w:top w:val="none" w:sz="0" w:space="0" w:color="auto"/>
        <w:left w:val="none" w:sz="0" w:space="0" w:color="auto"/>
        <w:bottom w:val="none" w:sz="0" w:space="0" w:color="auto"/>
        <w:right w:val="none" w:sz="0" w:space="0" w:color="auto"/>
      </w:divBdr>
    </w:div>
    <w:div w:id="1029454016">
      <w:bodyDiv w:val="1"/>
      <w:marLeft w:val="0"/>
      <w:marRight w:val="0"/>
      <w:marTop w:val="0"/>
      <w:marBottom w:val="0"/>
      <w:divBdr>
        <w:top w:val="none" w:sz="0" w:space="0" w:color="auto"/>
        <w:left w:val="none" w:sz="0" w:space="0" w:color="auto"/>
        <w:bottom w:val="none" w:sz="0" w:space="0" w:color="auto"/>
        <w:right w:val="none" w:sz="0" w:space="0" w:color="auto"/>
      </w:divBdr>
    </w:div>
    <w:div w:id="1895387479">
      <w:bodyDiv w:val="1"/>
      <w:marLeft w:val="0"/>
      <w:marRight w:val="0"/>
      <w:marTop w:val="0"/>
      <w:marBottom w:val="0"/>
      <w:divBdr>
        <w:top w:val="none" w:sz="0" w:space="0" w:color="auto"/>
        <w:left w:val="none" w:sz="0" w:space="0" w:color="auto"/>
        <w:bottom w:val="none" w:sz="0" w:space="0" w:color="auto"/>
        <w:right w:val="none" w:sz="0" w:space="0" w:color="auto"/>
      </w:divBdr>
      <w:divsChild>
        <w:div w:id="1575967506">
          <w:marLeft w:val="0"/>
          <w:marRight w:val="0"/>
          <w:marTop w:val="0"/>
          <w:marBottom w:val="0"/>
          <w:divBdr>
            <w:top w:val="none" w:sz="0" w:space="0" w:color="auto"/>
            <w:left w:val="none" w:sz="0" w:space="0" w:color="auto"/>
            <w:bottom w:val="none" w:sz="0" w:space="0" w:color="auto"/>
            <w:right w:val="none" w:sz="0" w:space="0" w:color="auto"/>
          </w:divBdr>
          <w:divsChild>
            <w:div w:id="1801534143">
              <w:marLeft w:val="0"/>
              <w:marRight w:val="0"/>
              <w:marTop w:val="0"/>
              <w:marBottom w:val="0"/>
              <w:divBdr>
                <w:top w:val="none" w:sz="0" w:space="0" w:color="auto"/>
                <w:left w:val="none" w:sz="0" w:space="0" w:color="auto"/>
                <w:bottom w:val="none" w:sz="0" w:space="0" w:color="auto"/>
                <w:right w:val="none" w:sz="0" w:space="0" w:color="auto"/>
              </w:divBdr>
            </w:div>
          </w:divsChild>
        </w:div>
        <w:div w:id="1838614797">
          <w:marLeft w:val="0"/>
          <w:marRight w:val="0"/>
          <w:marTop w:val="0"/>
          <w:marBottom w:val="0"/>
          <w:divBdr>
            <w:top w:val="none" w:sz="0" w:space="0" w:color="auto"/>
            <w:left w:val="none" w:sz="0" w:space="0" w:color="auto"/>
            <w:bottom w:val="none" w:sz="0" w:space="0" w:color="auto"/>
            <w:right w:val="none" w:sz="0" w:space="0" w:color="auto"/>
          </w:divBdr>
          <w:divsChild>
            <w:div w:id="992412568">
              <w:marLeft w:val="0"/>
              <w:marRight w:val="0"/>
              <w:marTop w:val="0"/>
              <w:marBottom w:val="0"/>
              <w:divBdr>
                <w:top w:val="none" w:sz="0" w:space="0" w:color="auto"/>
                <w:left w:val="none" w:sz="0" w:space="0" w:color="auto"/>
                <w:bottom w:val="none" w:sz="0" w:space="0" w:color="auto"/>
                <w:right w:val="none" w:sz="0" w:space="0" w:color="auto"/>
              </w:divBdr>
              <w:divsChild>
                <w:div w:id="16572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3809">
          <w:marLeft w:val="0"/>
          <w:marRight w:val="0"/>
          <w:marTop w:val="0"/>
          <w:marBottom w:val="0"/>
          <w:divBdr>
            <w:top w:val="none" w:sz="0" w:space="0" w:color="auto"/>
            <w:left w:val="none" w:sz="0" w:space="0" w:color="auto"/>
            <w:bottom w:val="none" w:sz="0" w:space="0" w:color="auto"/>
            <w:right w:val="none" w:sz="0" w:space="0" w:color="auto"/>
          </w:divBdr>
          <w:divsChild>
            <w:div w:id="1752891907">
              <w:marLeft w:val="0"/>
              <w:marRight w:val="0"/>
              <w:marTop w:val="0"/>
              <w:marBottom w:val="0"/>
              <w:divBdr>
                <w:top w:val="none" w:sz="0" w:space="0" w:color="auto"/>
                <w:left w:val="none" w:sz="0" w:space="0" w:color="auto"/>
                <w:bottom w:val="none" w:sz="0" w:space="0" w:color="auto"/>
                <w:right w:val="none" w:sz="0" w:space="0" w:color="auto"/>
              </w:divBdr>
              <w:divsChild>
                <w:div w:id="901477507">
                  <w:marLeft w:val="0"/>
                  <w:marRight w:val="0"/>
                  <w:marTop w:val="0"/>
                  <w:marBottom w:val="0"/>
                  <w:divBdr>
                    <w:top w:val="none" w:sz="0" w:space="0" w:color="auto"/>
                    <w:left w:val="none" w:sz="0" w:space="0" w:color="auto"/>
                    <w:bottom w:val="none" w:sz="0" w:space="0" w:color="auto"/>
                    <w:right w:val="none" w:sz="0" w:space="0" w:color="auto"/>
                  </w:divBdr>
                </w:div>
                <w:div w:id="1978073675">
                  <w:marLeft w:val="0"/>
                  <w:marRight w:val="0"/>
                  <w:marTop w:val="0"/>
                  <w:marBottom w:val="0"/>
                  <w:divBdr>
                    <w:top w:val="none" w:sz="0" w:space="0" w:color="auto"/>
                    <w:left w:val="none" w:sz="0" w:space="0" w:color="auto"/>
                    <w:bottom w:val="none" w:sz="0" w:space="0" w:color="auto"/>
                    <w:right w:val="none" w:sz="0" w:space="0" w:color="auto"/>
                  </w:divBdr>
                </w:div>
                <w:div w:id="2143384273">
                  <w:marLeft w:val="0"/>
                  <w:marRight w:val="0"/>
                  <w:marTop w:val="0"/>
                  <w:marBottom w:val="0"/>
                  <w:divBdr>
                    <w:top w:val="none" w:sz="0" w:space="0" w:color="auto"/>
                    <w:left w:val="none" w:sz="0" w:space="0" w:color="auto"/>
                    <w:bottom w:val="none" w:sz="0" w:space="0" w:color="auto"/>
                    <w:right w:val="none" w:sz="0" w:space="0" w:color="auto"/>
                  </w:divBdr>
                </w:div>
                <w:div w:id="17126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chinte.jamanetwork.com/article.aspx?articleid=1485082" TargetMode="External"/><Relationship Id="rId13" Type="http://schemas.openxmlformats.org/officeDocument/2006/relationships/hyperlink" Target="http://www.scielo.br/img/revistas/abem/v53n5/20t01.gif" TargetMode="External"/><Relationship Id="rId18" Type="http://schemas.openxmlformats.org/officeDocument/2006/relationships/hyperlink" Target="http://www.scielo.br/img/revistas/abem/v53n5/20t04.gif" TargetMode="External"/><Relationship Id="rId26" Type="http://schemas.openxmlformats.org/officeDocument/2006/relationships/hyperlink" Target="http://www.scielo.br/img/revistas/abem/v53n5/20t02.gif" TargetMode="External"/><Relationship Id="rId39"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http://bvsms.saude.gov.br/bvs/pnds/img/relatorio_final_pnds2006.pdf" TargetMode="External"/><Relationship Id="rId34" Type="http://schemas.openxmlformats.org/officeDocument/2006/relationships/image" Target="media/image9.png"/><Relationship Id="rId42" Type="http://schemas.openxmlformats.org/officeDocument/2006/relationships/image" Target="media/image17.png"/><Relationship Id="rId7" Type="http://schemas.openxmlformats.org/officeDocument/2006/relationships/hyperlink" Target="http://www.scielo.br/scielo.php?script=sci_arttext&amp;pid=S0004-27302009000500020" TargetMode="External"/><Relationship Id="rId12" Type="http://schemas.openxmlformats.org/officeDocument/2006/relationships/hyperlink" Target="http://www.scielo.br/scielo.php?script=sci_arttext&amp;pid=S0004-27302009000500020" TargetMode="External"/><Relationship Id="rId17" Type="http://schemas.openxmlformats.org/officeDocument/2006/relationships/hyperlink" Target="http://www.scielo.br/scielo.php?script=sci_arttext&amp;pid=S0004-27302009000500020"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hyperlink" Target="http://www.scielo.br/img/revistas/abem/v53n5/20t03.gif" TargetMode="External"/><Relationship Id="rId20" Type="http://schemas.openxmlformats.org/officeDocument/2006/relationships/hyperlink" Target="http://www.scielo.br/img/revistas/abem/v53n5/20t05.gif" TargetMode="External"/><Relationship Id="rId29" Type="http://schemas.openxmlformats.org/officeDocument/2006/relationships/hyperlink" Target="http://www.scielo.br/img/revistas/abem/v53n5/20t03.gif" TargetMode="External"/><Relationship Id="rId41"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http://www.nejm.org/doi/full/10.1056/NEJMoa1105816" TargetMode="External"/><Relationship Id="rId11" Type="http://schemas.openxmlformats.org/officeDocument/2006/relationships/hyperlink" Target="http://www.scielo.br/scielo.php?script=sci_serial&amp;pid=0004-2730&amp;lng=en&amp;nrm=iso" TargetMode="External"/><Relationship Id="rId24" Type="http://schemas.openxmlformats.org/officeDocument/2006/relationships/hyperlink" Target="javascript:void(0);"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hyperlink" Target="http://www.nature.com/ijo/journal/v36/n3/full/ijo2011160a.html" TargetMode="External"/><Relationship Id="rId15" Type="http://schemas.openxmlformats.org/officeDocument/2006/relationships/hyperlink" Target="http://www.scielo.br/img/revistas/abem/v53n5/20t02.gif" TargetMode="External"/><Relationship Id="rId23" Type="http://schemas.openxmlformats.org/officeDocument/2006/relationships/hyperlink" Target="http://admin-apps.isiknowledge.com/JCR/JCR" TargetMode="Externa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hyperlink" Target="http://www.nejm.org/toc/nejm/368/5/" TargetMode="External"/><Relationship Id="rId19" Type="http://schemas.openxmlformats.org/officeDocument/2006/relationships/image" Target="media/image1.gif"/><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hyperlink" Target="http://www.nejm.org/doi/full/10.1056/NEJMsa1208051" TargetMode="External"/><Relationship Id="rId9" Type="http://schemas.openxmlformats.org/officeDocument/2006/relationships/hyperlink" Target="http://www.nejm.org/doi/full/10.1056/NEJMsa1208051" TargetMode="External"/><Relationship Id="rId14" Type="http://schemas.openxmlformats.org/officeDocument/2006/relationships/hyperlink" Target="http://www.scielo.br/img/revistas/abem/v53n5/20t02.gif" TargetMode="External"/><Relationship Id="rId22" Type="http://schemas.openxmlformats.org/officeDocument/2006/relationships/hyperlink" Target="http://www.cnpp.usda.gov/publications/hei/HEI89-90report.pdf"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22</Pages>
  <Words>9022</Words>
  <Characters>48721</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dc:creator>
  <cp:lastModifiedBy>LUCAS</cp:lastModifiedBy>
  <cp:revision>6</cp:revision>
  <dcterms:created xsi:type="dcterms:W3CDTF">2013-02-24T14:48:00Z</dcterms:created>
  <dcterms:modified xsi:type="dcterms:W3CDTF">2013-07-22T02:13:00Z</dcterms:modified>
</cp:coreProperties>
</file>